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F35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6CD771C6" w14:textId="535E22AB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2252F0">
        <w:rPr>
          <w:rFonts w:ascii="Century Gothic" w:hAnsi="Century Gothic" w:cs="Century Gothic"/>
          <w:b/>
          <w:color w:val="00B050"/>
          <w:sz w:val="28"/>
          <w:szCs w:val="28"/>
        </w:rPr>
        <w:t>September 16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2034ADF8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002D272" w14:textId="77777777" w:rsidR="002E6DD9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2750209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47FF8ED5" w14:textId="77777777" w:rsidR="002E6DD9" w:rsidRPr="005A0EAC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321767E2" w14:textId="5D64E890" w:rsidR="002E6DD9" w:rsidRPr="008D2E62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46F90F29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5BC76B5D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0C6EB5F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0E477CC8" w14:textId="77777777" w:rsidR="002E6DD9" w:rsidRDefault="002E6DD9" w:rsidP="002E6DD9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597987B3" w14:textId="77777777" w:rsidR="003B27A4" w:rsidRPr="00054AFF" w:rsidRDefault="003B27A4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F034AD1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4C5A1901" w14:textId="77777777" w:rsidR="002E6DD9" w:rsidRPr="007C5EFB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377E167A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B311B5C" w14:textId="25075071" w:rsidR="002E6DD9" w:rsidRDefault="002252F0" w:rsidP="002E6D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August 19</w:t>
      </w:r>
      <w:r w:rsidR="002E6DD9">
        <w:rPr>
          <w:rFonts w:ascii="Century Gothic" w:hAnsi="Century Gothic"/>
          <w:bCs/>
          <w:sz w:val="22"/>
        </w:rPr>
        <w:t>, 2024</w:t>
      </w:r>
      <w:r w:rsidR="002E6DD9" w:rsidRPr="008D3936">
        <w:rPr>
          <w:rFonts w:ascii="Century Gothic" w:hAnsi="Century Gothic"/>
          <w:bCs/>
          <w:sz w:val="22"/>
        </w:rPr>
        <w:t>, Monthly Meeting</w:t>
      </w:r>
      <w:r w:rsidR="002E6DD9">
        <w:rPr>
          <w:rFonts w:ascii="Century Gothic" w:hAnsi="Century Gothic"/>
          <w:bCs/>
          <w:sz w:val="22"/>
        </w:rPr>
        <w:t xml:space="preserve"> Summary</w:t>
      </w:r>
    </w:p>
    <w:p w14:paraId="25F39ED8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E21993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9FF972A" w14:textId="77777777" w:rsidR="002E6DD9" w:rsidRDefault="002E6DD9" w:rsidP="002E6DD9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D570B57" w14:textId="77777777" w:rsidR="002E6DD9" w:rsidRPr="003E2671" w:rsidRDefault="002E6DD9" w:rsidP="002E6DD9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2F5ABD5B" w14:textId="77777777" w:rsidR="002E6DD9" w:rsidRPr="003E2671" w:rsidRDefault="002E6DD9" w:rsidP="002E6DD9">
      <w:pPr>
        <w:ind w:left="90" w:firstLine="720"/>
        <w:rPr>
          <w:b/>
          <w:sz w:val="22"/>
        </w:rPr>
      </w:pPr>
    </w:p>
    <w:p w14:paraId="71ADDD53" w14:textId="77777777" w:rsidR="002252F0" w:rsidRPr="006E22D5" w:rsidRDefault="002252F0" w:rsidP="002252F0">
      <w:pPr>
        <w:pStyle w:val="ListParagraph"/>
        <w:widowControl w:val="0"/>
        <w:numPr>
          <w:ilvl w:val="0"/>
          <w:numId w:val="12"/>
        </w:numPr>
        <w:ind w:left="1440"/>
        <w:rPr>
          <w:rFonts w:eastAsia="Arial" w:cs="Arial"/>
          <w:b/>
          <w:bCs/>
          <w:sz w:val="22"/>
        </w:rPr>
      </w:pPr>
      <w:bookmarkStart w:id="3" w:name="_Hlk169592741"/>
      <w:r w:rsidRPr="006E22D5">
        <w:rPr>
          <w:rFonts w:eastAsia="Calibri" w:cs="Arial"/>
          <w:b/>
          <w:bCs/>
          <w:snapToGrid w:val="0"/>
          <w:sz w:val="22"/>
        </w:rPr>
        <w:t xml:space="preserve">Craft Construction Company </w:t>
      </w:r>
      <w:proofErr w:type="gramStart"/>
      <w:r w:rsidRPr="006E22D5">
        <w:rPr>
          <w:rFonts w:eastAsia="Calibri" w:cs="Arial"/>
          <w:b/>
          <w:bCs/>
          <w:snapToGrid w:val="0"/>
          <w:sz w:val="22"/>
        </w:rPr>
        <w:t>LLC</w:t>
      </w:r>
      <w:r w:rsidRPr="006E22D5">
        <w:rPr>
          <w:rFonts w:eastAsia="Calibri" w:cs="Arial"/>
          <w:snapToGrid w:val="0"/>
          <w:sz w:val="22"/>
        </w:rPr>
        <w:t xml:space="preserve"> </w:t>
      </w:r>
      <w:bookmarkEnd w:id="3"/>
      <w:r w:rsidRPr="006E22D5">
        <w:rPr>
          <w:rFonts w:eastAsia="Arial" w:cs="Arial"/>
          <w:b/>
          <w:bCs/>
          <w:i/>
          <w:iCs/>
          <w:color w:val="000000"/>
          <w:kern w:val="2"/>
          <w:sz w:val="22"/>
          <w14:ligatures w14:val="standardContextual"/>
        </w:rPr>
        <w:t xml:space="preserve"> </w:t>
      </w:r>
      <w:r w:rsidRPr="006E22D5">
        <w:rPr>
          <w:rFonts w:eastAsia="Calibri" w:cs="Arial"/>
          <w:i/>
          <w:iCs/>
          <w:kern w:val="2"/>
          <w:sz w:val="22"/>
          <w14:ligatures w14:val="standardContextual"/>
        </w:rPr>
        <w:t>[</w:t>
      </w:r>
      <w:proofErr w:type="gramEnd"/>
      <w:r w:rsidRPr="006E22D5">
        <w:rPr>
          <w:rFonts w:eastAsia="Calibri" w:cs="Arial"/>
          <w:i/>
          <w:iCs/>
          <w:kern w:val="2"/>
          <w:sz w:val="22"/>
          <w14:ligatures w14:val="standardContextual"/>
        </w:rPr>
        <w:t xml:space="preserve">AP-24-04] at 2143 </w:t>
      </w:r>
      <w:r w:rsidRPr="006E22D5">
        <w:rPr>
          <w:rFonts w:eastAsia="Calibri" w:cs="Arial"/>
          <w:kern w:val="2"/>
          <w:sz w:val="21"/>
          <w:szCs w:val="21"/>
          <w14:ligatures w14:val="standardContextual"/>
        </w:rPr>
        <w:t>1407 1st Street; Jacksonville Beach.</w:t>
      </w:r>
      <w:r w:rsidRPr="006E22D5">
        <w:rPr>
          <w:rFonts w:eastAsia="Calibri" w:cs="Arial"/>
          <w:i/>
          <w:iCs/>
          <w:kern w:val="2"/>
          <w:sz w:val="22"/>
          <w14:ligatures w14:val="standardContextual"/>
        </w:rPr>
        <w:t xml:space="preserve">   </w:t>
      </w:r>
      <w:bookmarkStart w:id="4" w:name="_Hlk116903886"/>
      <w:bookmarkStart w:id="5" w:name="_Hlk75354636"/>
      <w:r w:rsidRPr="006E22D5">
        <w:rPr>
          <w:rFonts w:eastAsia="Arial" w:cs="Arial"/>
          <w:sz w:val="22"/>
        </w:rPr>
        <w:t>Emissions causing air pollution nuisance</w:t>
      </w:r>
      <w:bookmarkEnd w:id="4"/>
      <w:bookmarkEnd w:id="5"/>
    </w:p>
    <w:p w14:paraId="3610B10A" w14:textId="77777777" w:rsidR="002252F0" w:rsidRDefault="002252F0" w:rsidP="002252F0">
      <w:pPr>
        <w:widowControl w:val="0"/>
        <w:ind w:left="810"/>
        <w:rPr>
          <w:rFonts w:eastAsia="Arial" w:cs="Arial"/>
          <w:sz w:val="22"/>
        </w:rPr>
      </w:pPr>
    </w:p>
    <w:p w14:paraId="39649816" w14:textId="77777777" w:rsidR="002252F0" w:rsidRPr="00576743" w:rsidRDefault="002252F0" w:rsidP="002252F0">
      <w:pPr>
        <w:widowControl w:val="0"/>
        <w:ind w:left="2160"/>
        <w:rPr>
          <w:rFonts w:eastAsia="Arial" w:cs="Arial"/>
          <w:bCs/>
          <w:sz w:val="22"/>
        </w:rPr>
      </w:pPr>
      <w:r w:rsidRPr="00576743">
        <w:rPr>
          <w:rFonts w:eastAsia="Arial" w:cs="Arial"/>
          <w:bCs/>
          <w:sz w:val="22"/>
          <w:u w:val="single"/>
        </w:rPr>
        <w:t>Corrective Actions:</w:t>
      </w:r>
    </w:p>
    <w:sdt>
      <w:sdtPr>
        <w:rPr>
          <w:rFonts w:eastAsia="Arial" w:cs="Arial"/>
          <w:bCs/>
          <w:sz w:val="22"/>
        </w:rPr>
        <w:id w:val="-35578569"/>
        <w:placeholder>
          <w:docPart w:val="4E74B5B45623482096B8AEED95B20A6F"/>
        </w:placeholder>
      </w:sdtPr>
      <w:sdtEndPr/>
      <w:sdtContent>
        <w:p w14:paraId="632B5A75" w14:textId="77777777" w:rsidR="002252F0" w:rsidRPr="00576743" w:rsidRDefault="002252F0" w:rsidP="002252F0">
          <w:pPr>
            <w:widowControl w:val="0"/>
            <w:ind w:left="2160"/>
            <w:rPr>
              <w:rFonts w:eastAsia="Arial" w:cs="Arial"/>
              <w:bCs/>
              <w:sz w:val="22"/>
            </w:rPr>
          </w:pPr>
          <w:r w:rsidRPr="00576743">
            <w:rPr>
              <w:rFonts w:eastAsia="Arial" w:cs="Arial"/>
              <w:bCs/>
              <w:sz w:val="22"/>
            </w:rPr>
            <w:t>Pavers installed, irrigation started, and silt fence repaired, soil/mulch installed.</w:t>
          </w:r>
        </w:p>
      </w:sdtContent>
    </w:sdt>
    <w:p w14:paraId="113A2BE0" w14:textId="77777777" w:rsidR="002252F0" w:rsidRPr="00576743" w:rsidRDefault="002252F0" w:rsidP="002252F0">
      <w:pPr>
        <w:widowControl w:val="0"/>
        <w:ind w:left="2160"/>
        <w:rPr>
          <w:rFonts w:eastAsia="Arial" w:cs="Arial"/>
          <w:bCs/>
          <w:sz w:val="22"/>
          <w:u w:val="single"/>
        </w:rPr>
      </w:pPr>
    </w:p>
    <w:p w14:paraId="7FB1DD07" w14:textId="77777777" w:rsidR="002252F0" w:rsidRPr="00576743" w:rsidRDefault="002252F0" w:rsidP="002252F0">
      <w:pPr>
        <w:widowControl w:val="0"/>
        <w:ind w:left="2160"/>
        <w:rPr>
          <w:rFonts w:eastAsia="Arial" w:cs="Arial"/>
          <w:sz w:val="22"/>
          <w:u w:val="single"/>
        </w:rPr>
      </w:pPr>
      <w:r w:rsidRPr="00576743">
        <w:rPr>
          <w:rFonts w:eastAsia="Arial" w:cs="Arial"/>
          <w:sz w:val="22"/>
          <w:u w:val="single"/>
        </w:rPr>
        <w:t xml:space="preserve">Consent Order settlement fee: </w:t>
      </w:r>
    </w:p>
    <w:p w14:paraId="65795FA2" w14:textId="77777777" w:rsidR="002252F0" w:rsidRPr="00576743" w:rsidRDefault="002252F0" w:rsidP="002252F0">
      <w:pPr>
        <w:widowControl w:val="0"/>
        <w:ind w:left="2160"/>
        <w:rPr>
          <w:rFonts w:eastAsia="Arial" w:cs="Arial"/>
          <w:sz w:val="22"/>
        </w:rPr>
      </w:pPr>
      <w:r w:rsidRPr="00576743">
        <w:rPr>
          <w:rFonts w:eastAsia="Arial" w:cs="Arial"/>
          <w:sz w:val="22"/>
        </w:rPr>
        <w:t>$300</w:t>
      </w:r>
    </w:p>
    <w:p w14:paraId="7C56C10F" w14:textId="77777777" w:rsidR="002252F0" w:rsidRPr="00576743" w:rsidRDefault="002252F0" w:rsidP="002252F0">
      <w:pPr>
        <w:widowControl w:val="0"/>
        <w:ind w:left="2160"/>
        <w:rPr>
          <w:rFonts w:eastAsia="Arial" w:cs="Arial"/>
          <w:sz w:val="22"/>
        </w:rPr>
      </w:pPr>
    </w:p>
    <w:p w14:paraId="27395C47" w14:textId="77777777" w:rsidR="002252F0" w:rsidRPr="00576743" w:rsidRDefault="002252F0" w:rsidP="002252F0">
      <w:pPr>
        <w:widowControl w:val="0"/>
        <w:ind w:left="2160"/>
        <w:rPr>
          <w:rFonts w:eastAsia="Arial" w:cs="Arial"/>
          <w:sz w:val="22"/>
        </w:rPr>
      </w:pPr>
      <w:r w:rsidRPr="00576743">
        <w:rPr>
          <w:rFonts w:eastAsia="Arial" w:cs="Arial"/>
          <w:sz w:val="22"/>
          <w:u w:val="single"/>
        </w:rPr>
        <w:t>Consent Order requirements</w:t>
      </w:r>
      <w:r w:rsidRPr="00576743">
        <w:rPr>
          <w:rFonts w:eastAsia="Arial" w:cs="Arial"/>
          <w:sz w:val="22"/>
        </w:rPr>
        <w:t>:</w:t>
      </w:r>
    </w:p>
    <w:p w14:paraId="5E95E522" w14:textId="77777777" w:rsidR="002252F0" w:rsidRPr="00576743" w:rsidRDefault="002252F0" w:rsidP="002252F0">
      <w:pPr>
        <w:widowControl w:val="0"/>
        <w:ind w:left="2160"/>
        <w:rPr>
          <w:rFonts w:eastAsia="Arial" w:cs="Arial"/>
          <w:sz w:val="22"/>
        </w:rPr>
      </w:pPr>
      <w:r w:rsidRPr="00576743">
        <w:rPr>
          <w:rFonts w:eastAsia="Arial" w:cs="Arial"/>
          <w:sz w:val="22"/>
        </w:rPr>
        <w:t>Penalty only</w:t>
      </w:r>
    </w:p>
    <w:p w14:paraId="2FCE953C" w14:textId="77777777" w:rsidR="002E6DD9" w:rsidRDefault="002E6DD9" w:rsidP="002E6DD9">
      <w:pPr>
        <w:rPr>
          <w:sz w:val="20"/>
          <w:szCs w:val="20"/>
        </w:rPr>
      </w:pPr>
    </w:p>
    <w:p w14:paraId="09AA1EB3" w14:textId="77777777" w:rsidR="002252F0" w:rsidRDefault="002252F0" w:rsidP="002E6DD9">
      <w:pPr>
        <w:ind w:left="90" w:firstLine="720"/>
        <w:rPr>
          <w:b/>
          <w:sz w:val="22"/>
          <w:u w:val="single"/>
        </w:rPr>
      </w:pPr>
    </w:p>
    <w:p w14:paraId="6A339EB6" w14:textId="77777777" w:rsidR="002252F0" w:rsidRDefault="002252F0" w:rsidP="002E6DD9">
      <w:pPr>
        <w:ind w:left="90" w:firstLine="720"/>
        <w:rPr>
          <w:b/>
          <w:sz w:val="22"/>
          <w:u w:val="single"/>
        </w:rPr>
      </w:pPr>
    </w:p>
    <w:p w14:paraId="4EE1EA49" w14:textId="77777777" w:rsidR="002252F0" w:rsidRDefault="002252F0" w:rsidP="002E6DD9">
      <w:pPr>
        <w:ind w:left="90" w:firstLine="720"/>
        <w:rPr>
          <w:b/>
          <w:sz w:val="22"/>
          <w:u w:val="single"/>
        </w:rPr>
      </w:pPr>
    </w:p>
    <w:p w14:paraId="4B0B8984" w14:textId="77777777" w:rsidR="002252F0" w:rsidRDefault="002252F0" w:rsidP="002E6DD9">
      <w:pPr>
        <w:ind w:left="90" w:firstLine="720"/>
        <w:rPr>
          <w:b/>
          <w:sz w:val="22"/>
          <w:u w:val="single"/>
        </w:rPr>
      </w:pPr>
    </w:p>
    <w:p w14:paraId="7372FEAF" w14:textId="77777777" w:rsidR="002252F0" w:rsidRDefault="002252F0" w:rsidP="002E6DD9">
      <w:pPr>
        <w:ind w:left="90" w:firstLine="720"/>
        <w:rPr>
          <w:b/>
          <w:sz w:val="22"/>
          <w:u w:val="single"/>
        </w:rPr>
      </w:pPr>
    </w:p>
    <w:p w14:paraId="509A2B7C" w14:textId="14A75BA1" w:rsidR="002E6DD9" w:rsidRPr="003E2671" w:rsidRDefault="002E6DD9" w:rsidP="002E6DD9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lastRenderedPageBreak/>
        <w:t>Water</w:t>
      </w:r>
    </w:p>
    <w:p w14:paraId="4583087E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</w:p>
    <w:p w14:paraId="674BC83D" w14:textId="77777777" w:rsidR="002252F0" w:rsidRDefault="002252F0" w:rsidP="002252F0">
      <w:pPr>
        <w:pStyle w:val="ListParagraph"/>
        <w:numPr>
          <w:ilvl w:val="0"/>
          <w:numId w:val="12"/>
        </w:numPr>
        <w:ind w:left="1440"/>
        <w:jc w:val="both"/>
        <w:rPr>
          <w:rFonts w:eastAsia="Arial" w:cs="Arial"/>
          <w:sz w:val="22"/>
        </w:rPr>
      </w:pPr>
      <w:bookmarkStart w:id="6" w:name="_Hlk161127475"/>
      <w:bookmarkEnd w:id="1"/>
      <w:bookmarkEnd w:id="2"/>
      <w:proofErr w:type="spellStart"/>
      <w:r w:rsidRPr="00576743">
        <w:rPr>
          <w:rFonts w:eastAsia="Calibri" w:cs="Arial"/>
          <w:b/>
          <w:bCs/>
          <w:kern w:val="2"/>
          <w:sz w:val="22"/>
          <w14:ligatures w14:val="standardContextual"/>
        </w:rPr>
        <w:t>Castlegate</w:t>
      </w:r>
      <w:proofErr w:type="spellEnd"/>
      <w:r w:rsidRPr="00576743">
        <w:rPr>
          <w:rFonts w:eastAsia="Calibri" w:cs="Arial"/>
          <w:b/>
          <w:bCs/>
          <w:kern w:val="2"/>
          <w:sz w:val="22"/>
          <w14:ligatures w14:val="standardContextual"/>
        </w:rPr>
        <w:t xml:space="preserve"> Associates III – Jacksonville, LLC </w:t>
      </w:r>
      <w:r w:rsidRPr="00576743">
        <w:rPr>
          <w:rFonts w:eastAsia="Calibri" w:cs="Arial"/>
          <w:i/>
          <w:iCs/>
          <w:kern w:val="2"/>
          <w:sz w:val="22"/>
          <w14:ligatures w14:val="standardContextual"/>
        </w:rPr>
        <w:t xml:space="preserve">[WP-24-19] at 14619 Yellow Bluff </w:t>
      </w:r>
      <w:proofErr w:type="gramStart"/>
      <w:r w:rsidRPr="00576743">
        <w:rPr>
          <w:rFonts w:eastAsia="Calibri" w:cs="Arial"/>
          <w:i/>
          <w:iCs/>
          <w:kern w:val="2"/>
          <w:sz w:val="22"/>
          <w14:ligatures w14:val="standardContextual"/>
        </w:rPr>
        <w:t xml:space="preserve">Road,  </w:t>
      </w:r>
      <w:r w:rsidRPr="00576743">
        <w:rPr>
          <w:rFonts w:eastAsia="Arial" w:cs="Arial"/>
          <w:sz w:val="22"/>
        </w:rPr>
        <w:t>Discharge</w:t>
      </w:r>
      <w:proofErr w:type="gramEnd"/>
      <w:r w:rsidRPr="00576743">
        <w:rPr>
          <w:rFonts w:eastAsia="Arial" w:cs="Arial"/>
          <w:sz w:val="22"/>
        </w:rPr>
        <w:t xml:space="preserve"> of untreated wastewater to the ground, surrounding environment; Failure to comply with Wastewater Collection/Transmission System design standards; Failure to perform required maintenance; and Failure to keep detailed maintenance records.</w:t>
      </w:r>
    </w:p>
    <w:p w14:paraId="614DCA6A" w14:textId="77777777" w:rsidR="002252F0" w:rsidRDefault="002252F0" w:rsidP="002252F0">
      <w:pPr>
        <w:jc w:val="both"/>
        <w:rPr>
          <w:rFonts w:eastAsia="Arial" w:cs="Arial"/>
          <w:sz w:val="22"/>
        </w:rPr>
      </w:pPr>
    </w:p>
    <w:p w14:paraId="005B20D3" w14:textId="77777777" w:rsidR="002252F0" w:rsidRPr="00576743" w:rsidRDefault="002252F0" w:rsidP="002252F0">
      <w:pPr>
        <w:ind w:left="2160"/>
        <w:jc w:val="both"/>
        <w:rPr>
          <w:rFonts w:eastAsia="Arial" w:cs="Arial"/>
          <w:bCs/>
          <w:sz w:val="22"/>
        </w:rPr>
      </w:pPr>
      <w:r w:rsidRPr="00576743">
        <w:rPr>
          <w:rFonts w:eastAsia="Arial" w:cs="Arial"/>
          <w:bCs/>
          <w:sz w:val="22"/>
          <w:u w:val="single"/>
        </w:rPr>
        <w:t>Corrective Actions:</w:t>
      </w:r>
    </w:p>
    <w:sdt>
      <w:sdtPr>
        <w:rPr>
          <w:rFonts w:eastAsia="Arial" w:cs="Arial"/>
          <w:b/>
          <w:sz w:val="22"/>
        </w:rPr>
        <w:id w:val="1197813723"/>
        <w:placeholder>
          <w:docPart w:val="780DC1A702F146029C178AF91823379F"/>
        </w:placeholder>
      </w:sdtPr>
      <w:sdtEndPr>
        <w:rPr>
          <w:b w:val="0"/>
          <w:bCs/>
        </w:rPr>
      </w:sdtEndPr>
      <w:sdtContent>
        <w:p w14:paraId="4306E9BC" w14:textId="77777777" w:rsidR="002252F0" w:rsidRPr="00576743" w:rsidRDefault="002252F0" w:rsidP="002252F0">
          <w:pPr>
            <w:ind w:left="2160"/>
            <w:jc w:val="both"/>
            <w:rPr>
              <w:rFonts w:eastAsia="Arial" w:cs="Arial"/>
              <w:bCs/>
              <w:sz w:val="22"/>
            </w:rPr>
          </w:pPr>
          <w:r w:rsidRPr="00576743">
            <w:rPr>
              <w:rFonts w:eastAsia="Arial" w:cs="Arial"/>
              <w:bCs/>
              <w:sz w:val="22"/>
            </w:rPr>
            <w:t>Exposed wires fixed, compliant sign in place and completed required maintenance on the ETM appear to be working.</w:t>
          </w:r>
        </w:p>
      </w:sdtContent>
    </w:sdt>
    <w:p w14:paraId="7B41BC25" w14:textId="77777777" w:rsidR="002252F0" w:rsidRPr="00576743" w:rsidRDefault="002252F0" w:rsidP="002252F0">
      <w:pPr>
        <w:ind w:left="2160"/>
        <w:jc w:val="both"/>
        <w:rPr>
          <w:rFonts w:eastAsia="Arial" w:cs="Arial"/>
          <w:bCs/>
          <w:sz w:val="22"/>
          <w:u w:val="single"/>
        </w:rPr>
      </w:pPr>
    </w:p>
    <w:p w14:paraId="23DBC06B" w14:textId="77777777" w:rsidR="002252F0" w:rsidRPr="00576743" w:rsidRDefault="002252F0" w:rsidP="002252F0">
      <w:pPr>
        <w:ind w:left="2160"/>
        <w:jc w:val="both"/>
        <w:rPr>
          <w:rFonts w:eastAsia="Arial" w:cs="Arial"/>
          <w:sz w:val="22"/>
          <w:u w:val="single"/>
        </w:rPr>
      </w:pPr>
      <w:r w:rsidRPr="00576743">
        <w:rPr>
          <w:rFonts w:eastAsia="Arial" w:cs="Arial"/>
          <w:sz w:val="22"/>
          <w:u w:val="single"/>
        </w:rPr>
        <w:t xml:space="preserve">Consent Order settlement fee: </w:t>
      </w:r>
    </w:p>
    <w:p w14:paraId="40718EC8" w14:textId="77777777" w:rsidR="002252F0" w:rsidRPr="00576743" w:rsidRDefault="002252F0" w:rsidP="002252F0">
      <w:pPr>
        <w:ind w:left="2160"/>
        <w:jc w:val="both"/>
        <w:rPr>
          <w:rFonts w:eastAsia="Arial" w:cs="Arial"/>
          <w:sz w:val="22"/>
        </w:rPr>
      </w:pPr>
      <w:r w:rsidRPr="00576743">
        <w:rPr>
          <w:rFonts w:eastAsia="Arial" w:cs="Arial"/>
          <w:sz w:val="22"/>
        </w:rPr>
        <w:t>$1</w:t>
      </w:r>
      <w:r>
        <w:rPr>
          <w:rFonts w:eastAsia="Arial" w:cs="Arial"/>
          <w:sz w:val="22"/>
        </w:rPr>
        <w:t>,</w:t>
      </w:r>
      <w:r w:rsidRPr="00576743">
        <w:rPr>
          <w:rFonts w:eastAsia="Arial" w:cs="Arial"/>
          <w:sz w:val="22"/>
        </w:rPr>
        <w:t>840.00</w:t>
      </w:r>
    </w:p>
    <w:p w14:paraId="5F7F5430" w14:textId="77777777" w:rsidR="002252F0" w:rsidRPr="00576743" w:rsidRDefault="002252F0" w:rsidP="002252F0">
      <w:pPr>
        <w:ind w:left="2160"/>
        <w:jc w:val="both"/>
        <w:rPr>
          <w:rFonts w:eastAsia="Arial" w:cs="Arial"/>
          <w:sz w:val="22"/>
        </w:rPr>
      </w:pPr>
    </w:p>
    <w:p w14:paraId="32CDA4DB" w14:textId="77777777" w:rsidR="002252F0" w:rsidRPr="00576743" w:rsidRDefault="002252F0" w:rsidP="002252F0">
      <w:pPr>
        <w:ind w:left="2160"/>
        <w:jc w:val="both"/>
        <w:rPr>
          <w:rFonts w:eastAsia="Arial" w:cs="Arial"/>
          <w:sz w:val="22"/>
        </w:rPr>
      </w:pPr>
      <w:r w:rsidRPr="00576743">
        <w:rPr>
          <w:rFonts w:eastAsia="Arial" w:cs="Arial"/>
          <w:sz w:val="22"/>
          <w:u w:val="single"/>
        </w:rPr>
        <w:t>Consent Order requirements</w:t>
      </w:r>
      <w:r w:rsidRPr="00576743">
        <w:rPr>
          <w:rFonts w:eastAsia="Arial" w:cs="Arial"/>
          <w:sz w:val="22"/>
        </w:rPr>
        <w:t>:</w:t>
      </w:r>
    </w:p>
    <w:p w14:paraId="163A4339" w14:textId="77777777" w:rsidR="002252F0" w:rsidRPr="00576743" w:rsidRDefault="002252F0" w:rsidP="002252F0">
      <w:pPr>
        <w:ind w:left="2160"/>
        <w:jc w:val="both"/>
        <w:rPr>
          <w:rFonts w:eastAsia="Arial" w:cs="Arial"/>
          <w:sz w:val="22"/>
        </w:rPr>
      </w:pPr>
      <w:r w:rsidRPr="00576743">
        <w:rPr>
          <w:rFonts w:eastAsia="Arial" w:cs="Arial"/>
          <w:sz w:val="22"/>
        </w:rPr>
        <w:t>Payment only</w:t>
      </w:r>
    </w:p>
    <w:p w14:paraId="54319721" w14:textId="77777777" w:rsidR="002252F0" w:rsidRDefault="002252F0" w:rsidP="002252F0">
      <w:pPr>
        <w:spacing w:line="223" w:lineRule="auto"/>
        <w:ind w:left="1440"/>
        <w:jc w:val="both"/>
        <w:rPr>
          <w:sz w:val="18"/>
          <w:szCs w:val="18"/>
        </w:rPr>
      </w:pPr>
    </w:p>
    <w:p w14:paraId="0D7FBA63" w14:textId="77777777" w:rsidR="002252F0" w:rsidRDefault="002252F0" w:rsidP="002252F0">
      <w:pPr>
        <w:spacing w:line="223" w:lineRule="auto"/>
        <w:ind w:left="1440"/>
        <w:jc w:val="both"/>
        <w:rPr>
          <w:sz w:val="18"/>
          <w:szCs w:val="18"/>
        </w:rPr>
      </w:pPr>
    </w:p>
    <w:p w14:paraId="372F02CA" w14:textId="77777777" w:rsidR="002252F0" w:rsidRDefault="002252F0" w:rsidP="002252F0">
      <w:pPr>
        <w:pStyle w:val="ListParagraph"/>
        <w:numPr>
          <w:ilvl w:val="0"/>
          <w:numId w:val="13"/>
        </w:numPr>
        <w:ind w:left="1440"/>
        <w:rPr>
          <w:sz w:val="22"/>
        </w:rPr>
      </w:pPr>
      <w:r w:rsidRPr="00F217C7">
        <w:rPr>
          <w:b/>
          <w:bCs/>
          <w:sz w:val="22"/>
        </w:rPr>
        <w:t>Primus Builders, Inc. –</w:t>
      </w:r>
      <w:r w:rsidRPr="00F217C7">
        <w:rPr>
          <w:sz w:val="22"/>
        </w:rPr>
        <w:t xml:space="preserve"> [WP-23-73] at 0 North Main Street, Discharge of non-stormwater to City municipal separate storm sewer system (“MS4”); Failure to comply with erosion and sediment control requirements.</w:t>
      </w:r>
    </w:p>
    <w:p w14:paraId="218AE2D1" w14:textId="77777777" w:rsidR="002252F0" w:rsidRDefault="002252F0" w:rsidP="002252F0">
      <w:pPr>
        <w:rPr>
          <w:sz w:val="22"/>
        </w:rPr>
      </w:pPr>
    </w:p>
    <w:p w14:paraId="682C20D3" w14:textId="77777777" w:rsidR="002252F0" w:rsidRPr="00C352E7" w:rsidRDefault="002252F0" w:rsidP="002252F0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352E7"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22"/>
        </w:rPr>
        <w:id w:val="1752692698"/>
        <w:placeholder>
          <w:docPart w:val="97EA799FD3DC4F9BBD2E2797E5131803"/>
        </w:placeholder>
      </w:sdtPr>
      <w:sdtEndPr/>
      <w:sdtContent>
        <w:p w14:paraId="7FF421A1" w14:textId="77777777" w:rsidR="002252F0" w:rsidRPr="00C352E7" w:rsidRDefault="002252F0" w:rsidP="002252F0">
          <w:pPr>
            <w:widowControl w:val="0"/>
            <w:ind w:left="2160"/>
            <w:rPr>
              <w:rFonts w:eastAsia="Times New Roman"/>
              <w:bCs/>
              <w:snapToGrid w:val="0"/>
              <w:sz w:val="22"/>
            </w:rPr>
          </w:pPr>
          <w:r>
            <w:rPr>
              <w:rFonts w:eastAsia="Times New Roman"/>
              <w:bCs/>
              <w:snapToGrid w:val="0"/>
              <w:sz w:val="22"/>
            </w:rPr>
            <w:t>A</w:t>
          </w:r>
          <w:r w:rsidRPr="00C352E7">
            <w:rPr>
              <w:rFonts w:eastAsia="Times New Roman"/>
              <w:bCs/>
              <w:snapToGrid w:val="0"/>
              <w:sz w:val="22"/>
            </w:rPr>
            <w:t xml:space="preserve">ll deficiencies noted were corrected </w:t>
          </w:r>
          <w:r>
            <w:rPr>
              <w:rFonts w:eastAsia="Times New Roman"/>
              <w:bCs/>
              <w:snapToGrid w:val="0"/>
              <w:sz w:val="22"/>
            </w:rPr>
            <w:t>per</w:t>
          </w:r>
          <w:r w:rsidRPr="00C352E7">
            <w:rPr>
              <w:rFonts w:eastAsia="Times New Roman"/>
              <w:bCs/>
              <w:snapToGrid w:val="0"/>
              <w:sz w:val="22"/>
            </w:rPr>
            <w:t xml:space="preserve"> citation response.</w:t>
          </w:r>
        </w:p>
      </w:sdtContent>
    </w:sdt>
    <w:p w14:paraId="53BB1BAB" w14:textId="77777777" w:rsidR="002252F0" w:rsidRPr="00C352E7" w:rsidRDefault="002252F0" w:rsidP="002252F0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4C214477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C352E7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334C5ECD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 w:rsidRPr="00C352E7">
        <w:rPr>
          <w:rFonts w:eastAsia="Times New Roman"/>
          <w:snapToGrid w:val="0"/>
          <w:sz w:val="22"/>
        </w:rPr>
        <w:t>$3</w:t>
      </w:r>
      <w:r>
        <w:rPr>
          <w:rFonts w:eastAsia="Times New Roman"/>
          <w:snapToGrid w:val="0"/>
          <w:sz w:val="22"/>
        </w:rPr>
        <w:t>,</w:t>
      </w:r>
      <w:r w:rsidRPr="00C352E7">
        <w:rPr>
          <w:rFonts w:eastAsia="Times New Roman"/>
          <w:snapToGrid w:val="0"/>
          <w:sz w:val="22"/>
        </w:rPr>
        <w:t>500.00</w:t>
      </w:r>
    </w:p>
    <w:p w14:paraId="13DDA296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38B30C3D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 w:rsidRPr="00C352E7">
        <w:rPr>
          <w:rFonts w:eastAsia="Times New Roman"/>
          <w:snapToGrid w:val="0"/>
          <w:sz w:val="22"/>
          <w:u w:val="single"/>
        </w:rPr>
        <w:t>Consent Order requirements</w:t>
      </w:r>
      <w:r w:rsidRPr="00C352E7">
        <w:rPr>
          <w:rFonts w:eastAsia="Times New Roman"/>
          <w:snapToGrid w:val="0"/>
          <w:sz w:val="22"/>
        </w:rPr>
        <w:t>:</w:t>
      </w:r>
    </w:p>
    <w:p w14:paraId="47E95F65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 w:rsidRPr="00C352E7">
        <w:rPr>
          <w:rFonts w:eastAsia="Times New Roman"/>
          <w:snapToGrid w:val="0"/>
          <w:sz w:val="22"/>
        </w:rPr>
        <w:t>Payment only</w:t>
      </w:r>
    </w:p>
    <w:p w14:paraId="7C72C581" w14:textId="77777777" w:rsidR="00BB5723" w:rsidRDefault="00BB57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A177862" w14:textId="77777777" w:rsidR="002252F0" w:rsidRPr="002252F0" w:rsidRDefault="002252F0" w:rsidP="002252F0">
      <w:pPr>
        <w:pStyle w:val="ListParagraph"/>
        <w:numPr>
          <w:ilvl w:val="0"/>
          <w:numId w:val="13"/>
        </w:numPr>
        <w:rPr>
          <w:sz w:val="22"/>
        </w:rPr>
      </w:pPr>
      <w:r w:rsidRPr="002252F0">
        <w:rPr>
          <w:b/>
          <w:bCs/>
          <w:sz w:val="22"/>
        </w:rPr>
        <w:t>Preserve at St. Nicholas Condominium Association, Inc.</w:t>
      </w:r>
      <w:r w:rsidRPr="002252F0">
        <w:rPr>
          <w:sz w:val="22"/>
        </w:rPr>
        <w:t>, [WP-23-32] at 3952 Atlantic Blvd, Discharge of untreated wastewater to the ground and surrounding environment.</w:t>
      </w:r>
    </w:p>
    <w:p w14:paraId="57A7275A" w14:textId="77777777" w:rsidR="002252F0" w:rsidRDefault="002252F0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688365E6" w14:textId="77777777" w:rsidR="002252F0" w:rsidRPr="00C352E7" w:rsidRDefault="002252F0" w:rsidP="002252F0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352E7"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22"/>
        </w:rPr>
        <w:id w:val="-342396254"/>
        <w:placeholder>
          <w:docPart w:val="D7C6A4A57D6A43C8AE3016D04934E290"/>
        </w:placeholder>
      </w:sdtPr>
      <w:sdtEndPr/>
      <w:sdtContent>
        <w:p w14:paraId="13E91FFE" w14:textId="77777777" w:rsidR="002252F0" w:rsidRPr="00C352E7" w:rsidRDefault="002252F0" w:rsidP="002252F0">
          <w:pPr>
            <w:widowControl w:val="0"/>
            <w:ind w:left="2160"/>
            <w:rPr>
              <w:rFonts w:eastAsia="Times New Roman"/>
              <w:bCs/>
              <w:snapToGrid w:val="0"/>
              <w:sz w:val="22"/>
            </w:rPr>
          </w:pPr>
          <w:r>
            <w:rPr>
              <w:rFonts w:eastAsia="Times New Roman"/>
              <w:bCs/>
              <w:snapToGrid w:val="0"/>
              <w:sz w:val="22"/>
            </w:rPr>
            <w:t>Shared line was cleared</w:t>
          </w:r>
        </w:p>
      </w:sdtContent>
    </w:sdt>
    <w:p w14:paraId="717D1B47" w14:textId="77777777" w:rsidR="002252F0" w:rsidRPr="00C352E7" w:rsidRDefault="002252F0" w:rsidP="002252F0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6544948D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C352E7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1303D11F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>$0 – no penalty is being collected if OMR is completed timely (mediation)</w:t>
      </w:r>
    </w:p>
    <w:p w14:paraId="147A5B52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350E1016" w14:textId="77777777" w:rsidR="002252F0" w:rsidRPr="00C352E7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 w:rsidRPr="00C352E7">
        <w:rPr>
          <w:rFonts w:eastAsia="Times New Roman"/>
          <w:snapToGrid w:val="0"/>
          <w:sz w:val="22"/>
          <w:u w:val="single"/>
        </w:rPr>
        <w:t>Consent Order requirements</w:t>
      </w:r>
      <w:r w:rsidRPr="00C352E7">
        <w:rPr>
          <w:rFonts w:eastAsia="Times New Roman"/>
          <w:snapToGrid w:val="0"/>
          <w:sz w:val="22"/>
        </w:rPr>
        <w:t>:</w:t>
      </w:r>
    </w:p>
    <w:p w14:paraId="778BF7C7" w14:textId="77777777" w:rsidR="002252F0" w:rsidRDefault="002252F0" w:rsidP="002252F0">
      <w:pPr>
        <w:widowControl w:val="0"/>
        <w:ind w:left="2160"/>
        <w:rPr>
          <w:rFonts w:eastAsia="Times New Roman"/>
          <w:snapToGrid w:val="0"/>
          <w:sz w:val="22"/>
        </w:rPr>
      </w:pPr>
      <w:r w:rsidRPr="0012390A">
        <w:rPr>
          <w:rFonts w:eastAsia="Times New Roman"/>
          <w:snapToGrid w:val="0"/>
          <w:sz w:val="22"/>
        </w:rPr>
        <w:t xml:space="preserve">OMR agreement – due August 30, </w:t>
      </w:r>
      <w:proofErr w:type="gramStart"/>
      <w:r w:rsidRPr="0012390A">
        <w:rPr>
          <w:rFonts w:eastAsia="Times New Roman"/>
          <w:snapToGrid w:val="0"/>
          <w:sz w:val="22"/>
        </w:rPr>
        <w:t>2024</w:t>
      </w:r>
      <w:proofErr w:type="gramEnd"/>
      <w:r w:rsidRPr="0012390A">
        <w:rPr>
          <w:rFonts w:eastAsia="Times New Roman"/>
          <w:snapToGrid w:val="0"/>
          <w:sz w:val="22"/>
        </w:rPr>
        <w:t xml:space="preserve"> but will grant extension to work with Marco Meadows</w:t>
      </w:r>
    </w:p>
    <w:p w14:paraId="2BC607D2" w14:textId="77777777" w:rsidR="002252F0" w:rsidRDefault="002252F0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DE8E12B" w14:textId="77777777" w:rsidR="002252F0" w:rsidRDefault="002252F0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27351305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0BA0995F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DAB2B66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1DA746D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73F7BC15" w14:textId="77777777" w:rsidR="007B0433" w:rsidRPr="007B0433" w:rsidRDefault="007B0433" w:rsidP="007B0433">
      <w:pPr>
        <w:pStyle w:val="ListParagraph"/>
        <w:numPr>
          <w:ilvl w:val="0"/>
          <w:numId w:val="13"/>
        </w:numPr>
        <w:rPr>
          <w:bCs/>
          <w:sz w:val="22"/>
          <w:u w:val="single"/>
        </w:rPr>
      </w:pPr>
      <w:r w:rsidRPr="007B0433">
        <w:rPr>
          <w:rFonts w:eastAsia="Arial"/>
          <w:b/>
          <w:bCs/>
          <w:sz w:val="22"/>
        </w:rPr>
        <w:lastRenderedPageBreak/>
        <w:t>Tucano Holding LLC</w:t>
      </w:r>
      <w:r w:rsidRPr="007B0433">
        <w:rPr>
          <w:rFonts w:eastAsia="Arial"/>
          <w:sz w:val="22"/>
        </w:rPr>
        <w:t xml:space="preserve"> </w:t>
      </w:r>
      <w:r w:rsidRPr="007B0433">
        <w:rPr>
          <w:rFonts w:eastAsia="Arial"/>
          <w:i/>
          <w:iCs/>
          <w:sz w:val="22"/>
        </w:rPr>
        <w:t>[WP-24-02] at 5220 New Kinds Road</w:t>
      </w:r>
      <w:r w:rsidRPr="007B0433">
        <w:rPr>
          <w:rFonts w:eastAsia="Arial"/>
          <w:sz w:val="22"/>
        </w:rPr>
        <w:t>, Discharge of untreated wastewater to the ground, surrounding environment and stormwater draining to MS4 and Allowing untreated wastewater into the storm sewer system.</w:t>
      </w:r>
    </w:p>
    <w:p w14:paraId="403DDDC5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8ABB1F5" w14:textId="77777777" w:rsidR="007B0433" w:rsidRPr="006614FE" w:rsidRDefault="007B0433" w:rsidP="007B0433">
      <w:pPr>
        <w:ind w:left="2160"/>
        <w:rPr>
          <w:bCs/>
          <w:sz w:val="22"/>
        </w:rPr>
      </w:pPr>
      <w:r w:rsidRPr="006614FE">
        <w:rPr>
          <w:bCs/>
          <w:sz w:val="22"/>
          <w:u w:val="single"/>
        </w:rPr>
        <w:t>Corrective Actions:</w:t>
      </w:r>
    </w:p>
    <w:p w14:paraId="0DD6BEE7" w14:textId="77777777" w:rsidR="007B0433" w:rsidRPr="00F51E9C" w:rsidRDefault="007B0433" w:rsidP="007B0433">
      <w:pPr>
        <w:ind w:left="2160"/>
        <w:rPr>
          <w:bCs/>
          <w:sz w:val="22"/>
        </w:rPr>
      </w:pPr>
      <w:r>
        <w:rPr>
          <w:bCs/>
          <w:sz w:val="22"/>
        </w:rPr>
        <w:t>Facility cleaned up around private pond; removed problem washer from production line; repaired and restored filter press; replaced filter press cloth, installed centrifuge.</w:t>
      </w:r>
    </w:p>
    <w:p w14:paraId="02664E8E" w14:textId="77777777" w:rsidR="007B0433" w:rsidRPr="00B85E05" w:rsidRDefault="007B0433" w:rsidP="007B0433">
      <w:pPr>
        <w:tabs>
          <w:tab w:val="left" w:pos="6315"/>
        </w:tabs>
        <w:ind w:left="2160"/>
        <w:rPr>
          <w:bCs/>
          <w:sz w:val="22"/>
        </w:rPr>
      </w:pPr>
    </w:p>
    <w:p w14:paraId="4F7A7DE9" w14:textId="77777777" w:rsidR="007B0433" w:rsidRPr="006614FE" w:rsidRDefault="007B0433" w:rsidP="007B0433">
      <w:pPr>
        <w:ind w:left="2160"/>
        <w:rPr>
          <w:sz w:val="22"/>
          <w:u w:val="single"/>
        </w:rPr>
      </w:pPr>
      <w:r w:rsidRPr="006614FE">
        <w:rPr>
          <w:sz w:val="22"/>
          <w:u w:val="single"/>
        </w:rPr>
        <w:t xml:space="preserve">Consent Order settlement fee: </w:t>
      </w:r>
    </w:p>
    <w:p w14:paraId="293D2EFC" w14:textId="77777777" w:rsidR="007B0433" w:rsidRPr="006614FE" w:rsidRDefault="007B0433" w:rsidP="007B0433">
      <w:pPr>
        <w:ind w:left="2160"/>
        <w:rPr>
          <w:sz w:val="22"/>
        </w:rPr>
      </w:pPr>
      <w:r>
        <w:rPr>
          <w:sz w:val="22"/>
        </w:rPr>
        <w:t xml:space="preserve">$900 – Minor potential for Harm; Major extent of Deviation </w:t>
      </w:r>
    </w:p>
    <w:p w14:paraId="2B403D22" w14:textId="77777777" w:rsidR="007B0433" w:rsidRPr="006614FE" w:rsidRDefault="007B0433" w:rsidP="007B0433">
      <w:pPr>
        <w:ind w:left="2160"/>
        <w:rPr>
          <w:sz w:val="22"/>
        </w:rPr>
      </w:pPr>
    </w:p>
    <w:p w14:paraId="5A76150C" w14:textId="77777777" w:rsidR="007B0433" w:rsidRPr="006614FE" w:rsidRDefault="007B0433" w:rsidP="007B0433">
      <w:pPr>
        <w:ind w:left="2160"/>
        <w:rPr>
          <w:sz w:val="22"/>
        </w:rPr>
      </w:pPr>
      <w:r w:rsidRPr="006614FE">
        <w:rPr>
          <w:sz w:val="22"/>
          <w:u w:val="single"/>
        </w:rPr>
        <w:t>Consent Order requirements</w:t>
      </w:r>
      <w:r w:rsidRPr="006614FE">
        <w:rPr>
          <w:sz w:val="22"/>
        </w:rPr>
        <w:t>:</w:t>
      </w:r>
    </w:p>
    <w:p w14:paraId="7F124313" w14:textId="77777777" w:rsidR="007B0433" w:rsidRPr="006614FE" w:rsidRDefault="007B0433" w:rsidP="007B0433">
      <w:pPr>
        <w:ind w:left="2160"/>
        <w:rPr>
          <w:sz w:val="22"/>
        </w:rPr>
      </w:pPr>
      <w:r>
        <w:rPr>
          <w:sz w:val="22"/>
        </w:rPr>
        <w:t>Penalty only</w:t>
      </w:r>
    </w:p>
    <w:p w14:paraId="4600BD2E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F226BC1" w14:textId="77777777" w:rsidR="007B0433" w:rsidRDefault="007B043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bookmarkEnd w:id="6"/>
    <w:p w14:paraId="433D75C5" w14:textId="21444428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4FF84AA7" w14:textId="77777777" w:rsidR="002252F0" w:rsidRDefault="002252F0" w:rsidP="002E6DD9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4A357035" w14:textId="52F7845A" w:rsidR="008D2E62" w:rsidRDefault="008D2E62" w:rsidP="008D2E62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2014ABE9" w14:textId="343B8C11" w:rsidR="008D2E62" w:rsidRDefault="002252F0" w:rsidP="002252F0">
      <w:pPr>
        <w:numPr>
          <w:ilvl w:val="0"/>
          <w:numId w:val="7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ACTION ITEM:  JEPB Awards</w:t>
      </w:r>
    </w:p>
    <w:p w14:paraId="3D451E66" w14:textId="1718C9EA" w:rsidR="008438F9" w:rsidRDefault="002252F0" w:rsidP="008438F9">
      <w:pPr>
        <w:numPr>
          <w:ilvl w:val="1"/>
          <w:numId w:val="7"/>
        </w:numPr>
        <w:ind w:left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DISCUSSION </w:t>
      </w:r>
      <w:proofErr w:type="gramStart"/>
      <w:r>
        <w:rPr>
          <w:rFonts w:ascii="Century Gothic" w:hAnsi="Century Gothic"/>
          <w:sz w:val="22"/>
        </w:rPr>
        <w:t>ITEM;  Environmental</w:t>
      </w:r>
      <w:proofErr w:type="gramEnd"/>
      <w:r>
        <w:rPr>
          <w:rFonts w:ascii="Century Gothic" w:hAnsi="Century Gothic"/>
          <w:sz w:val="22"/>
        </w:rPr>
        <w:t xml:space="preserve"> Protection Fund</w:t>
      </w:r>
    </w:p>
    <w:p w14:paraId="43C1683C" w14:textId="77777777" w:rsidR="008438F9" w:rsidRDefault="008438F9" w:rsidP="008D2E62">
      <w:pPr>
        <w:ind w:left="720"/>
        <w:rPr>
          <w:rFonts w:ascii="Century Gothic" w:hAnsi="Century Gothic"/>
          <w:sz w:val="22"/>
        </w:rPr>
      </w:pPr>
    </w:p>
    <w:p w14:paraId="365448F3" w14:textId="7C9D5805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8D2E62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FD4BD83" w14:textId="6C18E21B" w:rsidR="008D2E62" w:rsidRDefault="002252F0" w:rsidP="008D2E62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None</w:t>
      </w:r>
    </w:p>
    <w:p w14:paraId="54F12CD5" w14:textId="77777777" w:rsidR="002252F0" w:rsidRPr="008D2E62" w:rsidRDefault="002252F0" w:rsidP="002252F0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91F71F4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7663826B" w14:textId="52E0C474" w:rsidR="002E6DD9" w:rsidRDefault="00EE4F23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7" w:name="_Hlk158819444"/>
      <w:r>
        <w:rPr>
          <w:rFonts w:ascii="Century Gothic" w:hAnsi="Century Gothic"/>
          <w:sz w:val="22"/>
        </w:rPr>
        <w:t>None</w:t>
      </w:r>
    </w:p>
    <w:p w14:paraId="12B90391" w14:textId="77777777" w:rsidR="005C2166" w:rsidRPr="00EF6F8F" w:rsidRDefault="005C2166" w:rsidP="005C2166">
      <w:pPr>
        <w:ind w:left="720"/>
        <w:rPr>
          <w:rFonts w:ascii="Century Gothic" w:hAnsi="Century Gothic"/>
          <w:sz w:val="22"/>
        </w:rPr>
      </w:pPr>
    </w:p>
    <w:bookmarkEnd w:id="7"/>
    <w:p w14:paraId="628F2879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9108F7D" w14:textId="77777777" w:rsidR="002E6DD9" w:rsidRPr="00EF6F8F" w:rsidRDefault="002E6DD9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B5D669A" w14:textId="13DD71C8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49362AFD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3E1C0E4B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555D19AD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6FAEF82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26730F7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72528AA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5795D2D4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29C5FD63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2B9687CC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48E465D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D24B76F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1DF7448D" w14:textId="77777777" w:rsidR="00ED6EC6" w:rsidRDefault="00ED6EC6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DE2F831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47583FD3" w14:textId="06C31B74" w:rsidR="002E6DD9" w:rsidRPr="00BD22ED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2252F0">
        <w:rPr>
          <w:rFonts w:ascii="Century Gothic" w:hAnsi="Century Gothic" w:cs="Century Gothic"/>
          <w:sz w:val="22"/>
        </w:rPr>
        <w:t>October 14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1F955B32" w14:textId="4A38C403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2252F0">
        <w:rPr>
          <w:rFonts w:ascii="Century Gothic" w:hAnsi="Century Gothic" w:cs="Century Gothic"/>
          <w:sz w:val="22"/>
        </w:rPr>
        <w:t>October 21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3FD842F7" w14:textId="77777777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72B1DFC0" w14:textId="2E330630" w:rsidR="00D26C5C" w:rsidRDefault="00D26C5C" w:rsidP="00D26C5C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lastRenderedPageBreak/>
        <w:t xml:space="preserve">JEPB Water Committee – </w:t>
      </w:r>
      <w:r w:rsidR="002252F0">
        <w:rPr>
          <w:rFonts w:ascii="Century Gothic" w:hAnsi="Century Gothic" w:cs="Century Gothic"/>
          <w:sz w:val="22"/>
        </w:rPr>
        <w:t>TBD</w:t>
      </w:r>
    </w:p>
    <w:p w14:paraId="668DC13D" w14:textId="7721E079" w:rsidR="002E6DD9" w:rsidRPr="00F53364" w:rsidRDefault="002E6DD9" w:rsidP="002E6DD9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2252F0">
        <w:rPr>
          <w:rFonts w:ascii="Century Gothic" w:hAnsi="Century Gothic" w:cs="Century Gothic"/>
          <w:sz w:val="22"/>
        </w:rPr>
        <w:t>TBD</w:t>
      </w:r>
    </w:p>
    <w:p w14:paraId="65505516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92DDD0D" w14:textId="18856A98" w:rsidR="002E6DD9" w:rsidRPr="00E257B3" w:rsidRDefault="002E6DD9" w:rsidP="00BB5723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36"/>
      <w:gridCol w:w="5814"/>
      <w:gridCol w:w="2340"/>
    </w:tblGrid>
    <w:tr w:rsidR="00683D3D" w14:paraId="76CAA857" w14:textId="77777777" w:rsidTr="008B03E0">
      <w:trPr>
        <w:trHeight w:val="2790"/>
        <w:tblHeader/>
      </w:trPr>
      <w:tc>
        <w:tcPr>
          <w:tcW w:w="2736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7860FD4F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LMHC,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517AC6">
            <w:rPr>
              <w:color w:val="1F497D" w:themeColor="text2"/>
              <w:sz w:val="16"/>
              <w:szCs w:val="16"/>
            </w:rPr>
            <w:t xml:space="preserve">    </w:t>
          </w:r>
          <w:r w:rsidR="008B03E0">
            <w:rPr>
              <w:color w:val="1F497D" w:themeColor="text2"/>
              <w:sz w:val="16"/>
              <w:szCs w:val="16"/>
            </w:rPr>
            <w:t xml:space="preserve">            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A231A8">
            <w:rPr>
              <w:color w:val="1F497D" w:themeColor="text2"/>
              <w:sz w:val="16"/>
              <w:szCs w:val="16"/>
            </w:rPr>
            <w:t xml:space="preserve">Margarete Vest, P.E. </w:t>
          </w:r>
          <w:r w:rsidR="00B25551">
            <w:rPr>
              <w:color w:val="1F497D" w:themeColor="text2"/>
              <w:sz w:val="16"/>
              <w:szCs w:val="16"/>
            </w:rPr>
            <w:t xml:space="preserve">David </w:t>
          </w:r>
          <w:r w:rsidR="008B03E0">
            <w:rPr>
              <w:color w:val="1F497D" w:themeColor="text2"/>
              <w:sz w:val="16"/>
              <w:szCs w:val="16"/>
            </w:rPr>
            <w:t>W</w:t>
          </w:r>
          <w:r w:rsidR="00B25551">
            <w:rPr>
              <w:color w:val="1F497D" w:themeColor="text2"/>
              <w:sz w:val="16"/>
              <w:szCs w:val="16"/>
            </w:rPr>
            <w:t>ood</w:t>
          </w:r>
        </w:p>
      </w:tc>
      <w:tc>
        <w:tcPr>
          <w:tcW w:w="234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55CF61B0" w:rsidR="00AA7533" w:rsidRDefault="00AA7533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3BF788B4" w14:textId="77777777" w:rsidR="00A231A8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15477758" w:rsidR="000B378F" w:rsidRDefault="00A231A8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24C124BC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0D45A08B" w14:textId="636120AC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A231A8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23300BA5" w:rsidR="00A231A8" w:rsidRPr="00EC3733" w:rsidRDefault="00A231A8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3F77072A"/>
    <w:multiLevelType w:val="hybridMultilevel"/>
    <w:tmpl w:val="4572B6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114AF"/>
    <w:multiLevelType w:val="hybridMultilevel"/>
    <w:tmpl w:val="210E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2176"/>
    <w:multiLevelType w:val="hybridMultilevel"/>
    <w:tmpl w:val="0A26A85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4DF3"/>
    <w:multiLevelType w:val="hybridMultilevel"/>
    <w:tmpl w:val="8B50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5"/>
  </w:num>
  <w:num w:numId="3" w16cid:durableId="1314215821">
    <w:abstractNumId w:val="1"/>
  </w:num>
  <w:num w:numId="4" w16cid:durableId="1893926941">
    <w:abstractNumId w:val="7"/>
  </w:num>
  <w:num w:numId="5" w16cid:durableId="1683168007">
    <w:abstractNumId w:val="12"/>
  </w:num>
  <w:num w:numId="6" w16cid:durableId="246572459">
    <w:abstractNumId w:val="3"/>
  </w:num>
  <w:num w:numId="7" w16cid:durableId="1184174610">
    <w:abstractNumId w:val="6"/>
  </w:num>
  <w:num w:numId="8" w16cid:durableId="524369335">
    <w:abstractNumId w:val="0"/>
  </w:num>
  <w:num w:numId="9" w16cid:durableId="1920095977">
    <w:abstractNumId w:val="10"/>
  </w:num>
  <w:num w:numId="10" w16cid:durableId="91291733">
    <w:abstractNumId w:val="8"/>
  </w:num>
  <w:num w:numId="11" w16cid:durableId="1158883867">
    <w:abstractNumId w:val="11"/>
  </w:num>
  <w:num w:numId="12" w16cid:durableId="1192719593">
    <w:abstractNumId w:val="9"/>
  </w:num>
  <w:num w:numId="13" w16cid:durableId="26319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54FD3"/>
    <w:rsid w:val="00182EE2"/>
    <w:rsid w:val="001A29ED"/>
    <w:rsid w:val="001C68D0"/>
    <w:rsid w:val="001E7050"/>
    <w:rsid w:val="002021ED"/>
    <w:rsid w:val="00211C95"/>
    <w:rsid w:val="002252F0"/>
    <w:rsid w:val="00251D32"/>
    <w:rsid w:val="00276DF2"/>
    <w:rsid w:val="002B2EF8"/>
    <w:rsid w:val="002C45F2"/>
    <w:rsid w:val="002E2051"/>
    <w:rsid w:val="002E6DD9"/>
    <w:rsid w:val="00323D40"/>
    <w:rsid w:val="003355F7"/>
    <w:rsid w:val="00394A11"/>
    <w:rsid w:val="003B27A4"/>
    <w:rsid w:val="00414677"/>
    <w:rsid w:val="004177D6"/>
    <w:rsid w:val="00453F81"/>
    <w:rsid w:val="00487293"/>
    <w:rsid w:val="004946C2"/>
    <w:rsid w:val="00497E01"/>
    <w:rsid w:val="004D2F67"/>
    <w:rsid w:val="004E0937"/>
    <w:rsid w:val="004E50A5"/>
    <w:rsid w:val="0050164B"/>
    <w:rsid w:val="0050363F"/>
    <w:rsid w:val="00517AC6"/>
    <w:rsid w:val="00577517"/>
    <w:rsid w:val="00584588"/>
    <w:rsid w:val="005960BE"/>
    <w:rsid w:val="005B3995"/>
    <w:rsid w:val="005C2166"/>
    <w:rsid w:val="0060094D"/>
    <w:rsid w:val="00602048"/>
    <w:rsid w:val="00633A09"/>
    <w:rsid w:val="00643CA9"/>
    <w:rsid w:val="006446A4"/>
    <w:rsid w:val="006826BB"/>
    <w:rsid w:val="00683D3D"/>
    <w:rsid w:val="006F3EF1"/>
    <w:rsid w:val="006F6832"/>
    <w:rsid w:val="00722AB5"/>
    <w:rsid w:val="0075565F"/>
    <w:rsid w:val="00762556"/>
    <w:rsid w:val="00786F2A"/>
    <w:rsid w:val="007B0433"/>
    <w:rsid w:val="007D1C67"/>
    <w:rsid w:val="007F563F"/>
    <w:rsid w:val="008017C6"/>
    <w:rsid w:val="00841351"/>
    <w:rsid w:val="008438F9"/>
    <w:rsid w:val="008A4B6B"/>
    <w:rsid w:val="008B03E0"/>
    <w:rsid w:val="008D2E62"/>
    <w:rsid w:val="008E60E9"/>
    <w:rsid w:val="009558A6"/>
    <w:rsid w:val="00970DA0"/>
    <w:rsid w:val="009A2161"/>
    <w:rsid w:val="009E55F1"/>
    <w:rsid w:val="00A231A8"/>
    <w:rsid w:val="00A439F0"/>
    <w:rsid w:val="00A77E44"/>
    <w:rsid w:val="00A94C57"/>
    <w:rsid w:val="00AA7533"/>
    <w:rsid w:val="00AC3542"/>
    <w:rsid w:val="00AD5582"/>
    <w:rsid w:val="00AE7BAF"/>
    <w:rsid w:val="00B25551"/>
    <w:rsid w:val="00B432CA"/>
    <w:rsid w:val="00B479B2"/>
    <w:rsid w:val="00BB5723"/>
    <w:rsid w:val="00BB5C12"/>
    <w:rsid w:val="00C038F6"/>
    <w:rsid w:val="00C31DC7"/>
    <w:rsid w:val="00C41B56"/>
    <w:rsid w:val="00CA2D70"/>
    <w:rsid w:val="00CF1E4D"/>
    <w:rsid w:val="00CF5FAD"/>
    <w:rsid w:val="00D03439"/>
    <w:rsid w:val="00D26C5C"/>
    <w:rsid w:val="00D26FB5"/>
    <w:rsid w:val="00D709DF"/>
    <w:rsid w:val="00E00894"/>
    <w:rsid w:val="00E257B3"/>
    <w:rsid w:val="00E26100"/>
    <w:rsid w:val="00E51B29"/>
    <w:rsid w:val="00E635CA"/>
    <w:rsid w:val="00E6361D"/>
    <w:rsid w:val="00ED6EC6"/>
    <w:rsid w:val="00EE4F23"/>
    <w:rsid w:val="00EF17DF"/>
    <w:rsid w:val="00F1466D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74B5B45623482096B8AEED95B2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4F63-E35F-47B9-AAB8-3D1703B2ABA9}"/>
      </w:docPartPr>
      <w:docPartBody>
        <w:p w:rsidR="00A80902" w:rsidRDefault="00A80902" w:rsidP="00A80902">
          <w:pPr>
            <w:pStyle w:val="4E74B5B45623482096B8AEED95B20A6F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780DC1A702F146029C178AF91823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370F-C4C3-4162-8AA4-C4E4D13A1C64}"/>
      </w:docPartPr>
      <w:docPartBody>
        <w:p w:rsidR="00A80902" w:rsidRDefault="00A80902" w:rsidP="00A80902">
          <w:pPr>
            <w:pStyle w:val="780DC1A702F146029C178AF91823379F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97EA799FD3DC4F9BBD2E2797E513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CB3A-884A-4785-B595-02D1EB096456}"/>
      </w:docPartPr>
      <w:docPartBody>
        <w:p w:rsidR="00A80902" w:rsidRDefault="00A80902" w:rsidP="00A80902">
          <w:pPr>
            <w:pStyle w:val="97EA799FD3DC4F9BBD2E2797E5131803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D7C6A4A57D6A43C8AE3016D04934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42CC-5455-4667-A777-08F48096708C}"/>
      </w:docPartPr>
      <w:docPartBody>
        <w:p w:rsidR="00A80902" w:rsidRDefault="00A80902" w:rsidP="00A80902">
          <w:pPr>
            <w:pStyle w:val="D7C6A4A57D6A43C8AE3016D04934E290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2"/>
    <w:rsid w:val="001A29ED"/>
    <w:rsid w:val="001E43E7"/>
    <w:rsid w:val="00722AB5"/>
    <w:rsid w:val="00A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3E7"/>
    <w:rPr>
      <w:color w:val="808080"/>
    </w:rPr>
  </w:style>
  <w:style w:type="paragraph" w:customStyle="1" w:styleId="4E74B5B45623482096B8AEED95B20A6F">
    <w:name w:val="4E74B5B45623482096B8AEED95B20A6F"/>
    <w:rsid w:val="00A80902"/>
  </w:style>
  <w:style w:type="paragraph" w:customStyle="1" w:styleId="780DC1A702F146029C178AF91823379F">
    <w:name w:val="780DC1A702F146029C178AF91823379F"/>
    <w:rsid w:val="00A80902"/>
  </w:style>
  <w:style w:type="paragraph" w:customStyle="1" w:styleId="97EA799FD3DC4F9BBD2E2797E5131803">
    <w:name w:val="97EA799FD3DC4F9BBD2E2797E5131803"/>
    <w:rsid w:val="00A80902"/>
  </w:style>
  <w:style w:type="paragraph" w:customStyle="1" w:styleId="D7C6A4A57D6A43C8AE3016D04934E290">
    <w:name w:val="D7C6A4A57D6A43C8AE3016D04934E290"/>
    <w:rsid w:val="00A80902"/>
  </w:style>
  <w:style w:type="paragraph" w:customStyle="1" w:styleId="6B19C023A1BD467B8B82153D424C4EB9">
    <w:name w:val="6B19C023A1BD467B8B82153D424C4EB9"/>
    <w:rsid w:val="001E4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3</cp:revision>
  <cp:lastPrinted>2022-07-29T15:38:00Z</cp:lastPrinted>
  <dcterms:created xsi:type="dcterms:W3CDTF">2024-09-11T19:28:00Z</dcterms:created>
  <dcterms:modified xsi:type="dcterms:W3CDTF">2024-09-11T20:06:00Z</dcterms:modified>
</cp:coreProperties>
</file>