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849D" w14:textId="77777777" w:rsidR="00CF5FAD" w:rsidRPr="00CF5FAD" w:rsidRDefault="00CF5FAD" w:rsidP="00CF5FAD"/>
    <w:p w14:paraId="7A6D424A" w14:textId="77777777" w:rsidR="00CF5FAD" w:rsidRPr="00CF5FAD" w:rsidRDefault="00CF5FAD" w:rsidP="00CF5FAD"/>
    <w:p w14:paraId="6C5FC8DC" w14:textId="77777777" w:rsidR="003A289F" w:rsidRPr="00031791" w:rsidRDefault="003A289F" w:rsidP="003A289F">
      <w:pPr>
        <w:autoSpaceDE w:val="0"/>
        <w:autoSpaceDN w:val="0"/>
        <w:adjustRightInd w:val="0"/>
        <w:jc w:val="center"/>
        <w:rPr>
          <w:rFonts w:ascii="Century Gothic" w:hAnsi="Century Gothic" w:cs="Century Gothic"/>
          <w:b/>
          <w:bCs/>
          <w:color w:val="00B050"/>
          <w:sz w:val="28"/>
          <w:szCs w:val="28"/>
        </w:rPr>
      </w:pPr>
      <w:r w:rsidRPr="00031791">
        <w:rPr>
          <w:rFonts w:ascii="Century Gothic" w:hAnsi="Century Gothic" w:cs="Century Gothic"/>
          <w:b/>
          <w:bCs/>
          <w:color w:val="00B050"/>
          <w:sz w:val="28"/>
          <w:szCs w:val="28"/>
        </w:rPr>
        <w:t>JEPB Monthly Meeting Agenda</w:t>
      </w:r>
    </w:p>
    <w:p w14:paraId="31A98E11" w14:textId="1B4973A9" w:rsidR="003A289F" w:rsidRPr="00031791" w:rsidRDefault="003A289F" w:rsidP="003A289F">
      <w:pPr>
        <w:autoSpaceDE w:val="0"/>
        <w:autoSpaceDN w:val="0"/>
        <w:adjustRightInd w:val="0"/>
        <w:jc w:val="center"/>
        <w:rPr>
          <w:rFonts w:ascii="Century Gothic" w:hAnsi="Century Gothic" w:cs="Century Gothic"/>
          <w:b/>
          <w:color w:val="00B050"/>
          <w:sz w:val="28"/>
          <w:szCs w:val="28"/>
        </w:rPr>
      </w:pPr>
      <w:r w:rsidRPr="00031791">
        <w:rPr>
          <w:rFonts w:ascii="Century Gothic" w:hAnsi="Century Gothic" w:cs="Century Gothic"/>
          <w:b/>
          <w:color w:val="00B050"/>
          <w:sz w:val="28"/>
          <w:szCs w:val="28"/>
        </w:rPr>
        <w:t xml:space="preserve">Monday, </w:t>
      </w:r>
      <w:r w:rsidR="00C06AEF">
        <w:rPr>
          <w:rFonts w:ascii="Century Gothic" w:hAnsi="Century Gothic" w:cs="Century Gothic"/>
          <w:b/>
          <w:color w:val="00B050"/>
          <w:sz w:val="28"/>
          <w:szCs w:val="28"/>
        </w:rPr>
        <w:t>November 20</w:t>
      </w:r>
      <w:r w:rsidRPr="00031791">
        <w:rPr>
          <w:rFonts w:ascii="Century Gothic" w:hAnsi="Century Gothic" w:cs="Century Gothic"/>
          <w:b/>
          <w:color w:val="00B050"/>
          <w:sz w:val="28"/>
          <w:szCs w:val="28"/>
        </w:rPr>
        <w:t>, 2023</w:t>
      </w:r>
    </w:p>
    <w:p w14:paraId="50BBFC9D" w14:textId="77777777" w:rsidR="003A289F" w:rsidRPr="00031791" w:rsidRDefault="003A289F" w:rsidP="003A289F">
      <w:pPr>
        <w:autoSpaceDE w:val="0"/>
        <w:autoSpaceDN w:val="0"/>
        <w:adjustRightInd w:val="0"/>
        <w:jc w:val="center"/>
        <w:rPr>
          <w:rFonts w:ascii="Century Gothic" w:hAnsi="Century Gothic" w:cs="Century Gothic"/>
          <w:color w:val="00B050"/>
          <w:sz w:val="28"/>
          <w:szCs w:val="28"/>
        </w:rPr>
      </w:pPr>
      <w:bookmarkStart w:id="0" w:name="_Hlk48051169"/>
      <w:r w:rsidRPr="00031791">
        <w:rPr>
          <w:rFonts w:ascii="Century Gothic" w:hAnsi="Century Gothic" w:cs="Century Gothic"/>
          <w:color w:val="00B050"/>
          <w:sz w:val="28"/>
          <w:szCs w:val="28"/>
        </w:rPr>
        <w:t>Physical Location:</w:t>
      </w:r>
    </w:p>
    <w:p w14:paraId="56D6F617" w14:textId="77777777" w:rsidR="003A289F" w:rsidRPr="00031791" w:rsidRDefault="003A289F" w:rsidP="003A289F">
      <w:pPr>
        <w:autoSpaceDE w:val="0"/>
        <w:autoSpaceDN w:val="0"/>
        <w:adjustRightInd w:val="0"/>
        <w:jc w:val="center"/>
        <w:rPr>
          <w:rFonts w:ascii="Century Gothic" w:hAnsi="Century Gothic" w:cs="Century Gothic"/>
          <w:color w:val="00B050"/>
          <w:sz w:val="28"/>
          <w:szCs w:val="28"/>
        </w:rPr>
      </w:pPr>
      <w:r w:rsidRPr="00031791">
        <w:rPr>
          <w:rFonts w:ascii="Century Gothic" w:hAnsi="Century Gothic" w:cs="Century Gothic"/>
          <w:color w:val="00B050"/>
          <w:sz w:val="28"/>
          <w:szCs w:val="28"/>
        </w:rPr>
        <w:t>5:00 p.m. - Ed Ball Building</w:t>
      </w:r>
    </w:p>
    <w:p w14:paraId="0FABAF25" w14:textId="77777777" w:rsidR="003A289F" w:rsidRPr="00031791" w:rsidRDefault="003A289F" w:rsidP="003A289F">
      <w:pPr>
        <w:autoSpaceDE w:val="0"/>
        <w:autoSpaceDN w:val="0"/>
        <w:adjustRightInd w:val="0"/>
        <w:jc w:val="center"/>
        <w:rPr>
          <w:rFonts w:ascii="Century Gothic" w:hAnsi="Century Gothic" w:cs="Century Gothic"/>
          <w:color w:val="00B050"/>
          <w:sz w:val="28"/>
          <w:szCs w:val="28"/>
        </w:rPr>
      </w:pPr>
      <w:r w:rsidRPr="00031791">
        <w:rPr>
          <w:rFonts w:ascii="Century Gothic" w:hAnsi="Century Gothic" w:cs="Century Gothic"/>
          <w:color w:val="00B050"/>
          <w:sz w:val="28"/>
          <w:szCs w:val="28"/>
        </w:rPr>
        <w:t xml:space="preserve">214 N. Hogan Street – Conference Room </w:t>
      </w:r>
      <w:r>
        <w:rPr>
          <w:rFonts w:ascii="Century Gothic" w:hAnsi="Century Gothic" w:cs="Century Gothic"/>
          <w:color w:val="00B050"/>
          <w:sz w:val="28"/>
          <w:szCs w:val="28"/>
        </w:rPr>
        <w:t>851</w:t>
      </w:r>
    </w:p>
    <w:p w14:paraId="486AC94D" w14:textId="77777777" w:rsidR="003A289F" w:rsidRPr="005A0EAC" w:rsidRDefault="003A289F" w:rsidP="003A289F">
      <w:pPr>
        <w:autoSpaceDE w:val="0"/>
        <w:autoSpaceDN w:val="0"/>
        <w:adjustRightInd w:val="0"/>
        <w:rPr>
          <w:rFonts w:ascii="Century Gothic" w:hAnsi="Century Gothic" w:cs="Century Gothic"/>
          <w:color w:val="000000"/>
          <w:sz w:val="28"/>
          <w:szCs w:val="28"/>
        </w:rPr>
      </w:pPr>
    </w:p>
    <w:p w14:paraId="43B964EA" w14:textId="3A549D84" w:rsidR="003A289F" w:rsidRPr="00031791" w:rsidRDefault="003A289F" w:rsidP="003A289F">
      <w:pPr>
        <w:autoSpaceDE w:val="0"/>
        <w:autoSpaceDN w:val="0"/>
        <w:adjustRightInd w:val="0"/>
        <w:jc w:val="center"/>
        <w:rPr>
          <w:rFonts w:ascii="Century Gothic" w:hAnsi="Century Gothic" w:cs="Century Gothic"/>
          <w:color w:val="00B050"/>
          <w:sz w:val="28"/>
          <w:szCs w:val="28"/>
        </w:rPr>
      </w:pPr>
      <w:r w:rsidRPr="00031791">
        <w:rPr>
          <w:rFonts w:ascii="Century Gothic" w:hAnsi="Century Gothic" w:cs="Century Gothic"/>
          <w:b/>
          <w:bCs/>
          <w:color w:val="00B050"/>
          <w:sz w:val="28"/>
          <w:szCs w:val="28"/>
        </w:rPr>
        <w:t>BOARD MEETING AGENDA</w:t>
      </w:r>
      <w:r w:rsidR="004C6B3C">
        <w:rPr>
          <w:rFonts w:ascii="Century Gothic" w:hAnsi="Century Gothic" w:cs="Century Gothic"/>
          <w:b/>
          <w:bCs/>
          <w:color w:val="00B050"/>
          <w:sz w:val="28"/>
          <w:szCs w:val="28"/>
        </w:rPr>
        <w:t xml:space="preserve"> - </w:t>
      </w:r>
      <w:r w:rsidR="004C6B3C" w:rsidRPr="004C6B3C">
        <w:rPr>
          <w:rFonts w:ascii="Century Gothic" w:hAnsi="Century Gothic" w:cs="Century Gothic"/>
          <w:b/>
          <w:bCs/>
          <w:color w:val="FF0000"/>
          <w:sz w:val="28"/>
          <w:szCs w:val="28"/>
        </w:rPr>
        <w:t>REVISED</w:t>
      </w:r>
    </w:p>
    <w:p w14:paraId="3A614BF6" w14:textId="77777777" w:rsidR="003A289F" w:rsidRPr="00054AFF" w:rsidRDefault="003A289F" w:rsidP="003A289F">
      <w:pPr>
        <w:autoSpaceDE w:val="0"/>
        <w:autoSpaceDN w:val="0"/>
        <w:adjustRightInd w:val="0"/>
        <w:rPr>
          <w:rFonts w:ascii="Century Gothic" w:hAnsi="Century Gothic" w:cs="Century Gothic"/>
          <w:b/>
          <w:bCs/>
          <w:color w:val="000000"/>
          <w:sz w:val="22"/>
        </w:rPr>
      </w:pPr>
    </w:p>
    <w:p w14:paraId="41ABE5DF" w14:textId="43DF3566" w:rsidR="003A289F" w:rsidRPr="00054AFF" w:rsidRDefault="003A289F" w:rsidP="003A289F">
      <w:pPr>
        <w:autoSpaceDE w:val="0"/>
        <w:autoSpaceDN w:val="0"/>
        <w:adjustRightInd w:val="0"/>
        <w:rPr>
          <w:rFonts w:ascii="Century Gothic" w:hAnsi="Century Gothic" w:cs="Century Gothic"/>
          <w:color w:val="000000"/>
          <w:sz w:val="22"/>
        </w:rPr>
      </w:pPr>
      <w:r w:rsidRPr="00054AFF">
        <w:rPr>
          <w:rFonts w:ascii="Century Gothic" w:eastAsiaTheme="majorEastAsia" w:hAnsi="Century Gothic" w:cstheme="majorBidi"/>
          <w:color w:val="365F91" w:themeColor="accent1" w:themeShade="BF"/>
          <w:sz w:val="22"/>
        </w:rPr>
        <w:t>CALL TO ORDER</w:t>
      </w:r>
      <w:r w:rsidRPr="00054AFF">
        <w:rPr>
          <w:rFonts w:ascii="Century Gothic" w:hAnsi="Century Gothic" w:cs="Century Gothic"/>
          <w:b/>
          <w:bCs/>
          <w:color w:val="000000"/>
          <w:sz w:val="22"/>
        </w:rPr>
        <w:t xml:space="preserve"> </w:t>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sidR="00002980">
        <w:rPr>
          <w:rFonts w:ascii="Century Gothic" w:hAnsi="Century Gothic" w:cs="Century Gothic"/>
          <w:b/>
          <w:bCs/>
          <w:color w:val="000000"/>
          <w:sz w:val="22"/>
        </w:rPr>
        <w:t>THOMAS DECK</w:t>
      </w:r>
      <w:r w:rsidRPr="00054AFF">
        <w:rPr>
          <w:rFonts w:ascii="Century Gothic" w:hAnsi="Century Gothic" w:cs="Century Gothic"/>
          <w:b/>
          <w:bCs/>
          <w:color w:val="000000"/>
          <w:sz w:val="22"/>
        </w:rPr>
        <w:t xml:space="preserve"> </w:t>
      </w:r>
    </w:p>
    <w:bookmarkEnd w:id="0"/>
    <w:p w14:paraId="7A9E7D1E" w14:textId="77777777" w:rsidR="003A289F" w:rsidRPr="00054AFF" w:rsidRDefault="003A289F" w:rsidP="003A289F">
      <w:pPr>
        <w:autoSpaceDE w:val="0"/>
        <w:autoSpaceDN w:val="0"/>
        <w:adjustRightInd w:val="0"/>
        <w:rPr>
          <w:rFonts w:ascii="Century Gothic" w:hAnsi="Century Gothic" w:cs="Century Gothic"/>
          <w:color w:val="000000"/>
          <w:sz w:val="22"/>
        </w:rPr>
      </w:pPr>
    </w:p>
    <w:p w14:paraId="2D32D153" w14:textId="77777777" w:rsidR="003A289F" w:rsidRDefault="003A289F" w:rsidP="003A289F">
      <w:pPr>
        <w:pStyle w:val="ListParagraph"/>
        <w:keepNext/>
        <w:keepLines/>
        <w:numPr>
          <w:ilvl w:val="0"/>
          <w:numId w:val="8"/>
        </w:numPr>
        <w:ind w:left="180" w:hanging="180"/>
        <w:outlineLvl w:val="0"/>
        <w:rPr>
          <w:rFonts w:ascii="Century Gothic" w:eastAsiaTheme="majorEastAsia" w:hAnsi="Century Gothic" w:cstheme="majorBidi"/>
          <w:color w:val="365F91" w:themeColor="accent1" w:themeShade="BF"/>
          <w:sz w:val="22"/>
        </w:rPr>
      </w:pPr>
      <w:r w:rsidRPr="00F86807">
        <w:rPr>
          <w:rFonts w:ascii="Century Gothic" w:eastAsiaTheme="majorEastAsia" w:hAnsi="Century Gothic" w:cstheme="majorBidi"/>
          <w:color w:val="365F91" w:themeColor="accent1" w:themeShade="BF"/>
          <w:sz w:val="22"/>
        </w:rPr>
        <w:t>CHAIRMAN’S REMARKS</w:t>
      </w:r>
    </w:p>
    <w:p w14:paraId="11952683" w14:textId="77777777" w:rsidR="003A289F" w:rsidRPr="00054AFF" w:rsidRDefault="003A289F" w:rsidP="003A289F">
      <w:pPr>
        <w:autoSpaceDE w:val="0"/>
        <w:autoSpaceDN w:val="0"/>
        <w:adjustRightInd w:val="0"/>
        <w:rPr>
          <w:rFonts w:ascii="Century Gothic" w:hAnsi="Century Gothic" w:cs="Century Gothic"/>
          <w:b/>
          <w:bCs/>
          <w:color w:val="000000"/>
          <w:sz w:val="22"/>
        </w:rPr>
      </w:pPr>
    </w:p>
    <w:p w14:paraId="691CD1BE" w14:textId="18D29A54" w:rsidR="00294584" w:rsidRDefault="00294584" w:rsidP="00294584">
      <w:pPr>
        <w:keepNext/>
        <w:keepLines/>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I</w:t>
      </w:r>
      <w:r w:rsidRPr="007C5EFB">
        <w:rPr>
          <w:rFonts w:ascii="Century Gothic" w:eastAsiaTheme="majorEastAsia" w:hAnsi="Century Gothic" w:cstheme="majorBidi"/>
          <w:color w:val="365F91" w:themeColor="accent1" w:themeShade="BF"/>
          <w:sz w:val="22"/>
        </w:rPr>
        <w:t xml:space="preserve">I. COMMENTS FROM THE PUBLIC </w:t>
      </w:r>
    </w:p>
    <w:p w14:paraId="5B604F64" w14:textId="77777777" w:rsidR="00294584" w:rsidRPr="007C5EFB" w:rsidRDefault="00294584" w:rsidP="00294584">
      <w:pPr>
        <w:keepNext/>
        <w:keepLines/>
        <w:outlineLvl w:val="0"/>
        <w:rPr>
          <w:rFonts w:ascii="Century Gothic" w:eastAsiaTheme="majorEastAsia" w:hAnsi="Century Gothic" w:cstheme="majorBidi"/>
          <w:color w:val="365F91" w:themeColor="accent1" w:themeShade="BF"/>
          <w:sz w:val="22"/>
        </w:rPr>
      </w:pPr>
    </w:p>
    <w:p w14:paraId="21F31C66" w14:textId="62774AAD" w:rsidR="003A289F" w:rsidRPr="00054AFF" w:rsidRDefault="00294584" w:rsidP="003A289F">
      <w:pPr>
        <w:keepNext/>
        <w:keepLines/>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I</w:t>
      </w:r>
      <w:r w:rsidR="003A289F">
        <w:rPr>
          <w:rFonts w:ascii="Century Gothic" w:eastAsiaTheme="majorEastAsia" w:hAnsi="Century Gothic" w:cstheme="majorBidi"/>
          <w:color w:val="365F91" w:themeColor="accent1" w:themeShade="BF"/>
          <w:sz w:val="22"/>
        </w:rPr>
        <w:t xml:space="preserve">II. </w:t>
      </w:r>
      <w:r w:rsidR="003A289F" w:rsidRPr="00054AFF">
        <w:rPr>
          <w:rFonts w:ascii="Century Gothic" w:eastAsiaTheme="majorEastAsia" w:hAnsi="Century Gothic" w:cstheme="majorBidi"/>
          <w:color w:val="365F91" w:themeColor="accent1" w:themeShade="BF"/>
          <w:sz w:val="22"/>
        </w:rPr>
        <w:t xml:space="preserve">APPROVAL OF MINUTES </w:t>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p>
    <w:p w14:paraId="0695405D" w14:textId="22F65222" w:rsidR="003A289F" w:rsidRDefault="00C06AEF" w:rsidP="003A289F">
      <w:pPr>
        <w:numPr>
          <w:ilvl w:val="0"/>
          <w:numId w:val="5"/>
        </w:numPr>
        <w:autoSpaceDE w:val="0"/>
        <w:autoSpaceDN w:val="0"/>
        <w:adjustRightInd w:val="0"/>
        <w:spacing w:after="200" w:line="276" w:lineRule="auto"/>
        <w:ind w:left="1080"/>
        <w:contextualSpacing/>
        <w:rPr>
          <w:rFonts w:ascii="Century Gothic" w:hAnsi="Century Gothic"/>
          <w:bCs/>
          <w:sz w:val="22"/>
        </w:rPr>
      </w:pPr>
      <w:r>
        <w:rPr>
          <w:rFonts w:ascii="Century Gothic" w:hAnsi="Century Gothic"/>
          <w:bCs/>
          <w:sz w:val="22"/>
        </w:rPr>
        <w:t>October 23</w:t>
      </w:r>
      <w:r w:rsidR="003A289F">
        <w:rPr>
          <w:rFonts w:ascii="Century Gothic" w:hAnsi="Century Gothic"/>
          <w:bCs/>
          <w:sz w:val="22"/>
        </w:rPr>
        <w:t>, 2023</w:t>
      </w:r>
      <w:r w:rsidR="003A289F" w:rsidRPr="008D3936">
        <w:rPr>
          <w:rFonts w:ascii="Century Gothic" w:hAnsi="Century Gothic"/>
          <w:bCs/>
          <w:sz w:val="22"/>
        </w:rPr>
        <w:t>, Monthly Meeting</w:t>
      </w:r>
      <w:r w:rsidR="003A289F">
        <w:rPr>
          <w:rFonts w:ascii="Century Gothic" w:hAnsi="Century Gothic"/>
          <w:bCs/>
          <w:sz w:val="22"/>
        </w:rPr>
        <w:t xml:space="preserve"> Summary</w:t>
      </w:r>
    </w:p>
    <w:p w14:paraId="26D2D1F4" w14:textId="77777777" w:rsidR="003A289F" w:rsidRPr="00054AFF" w:rsidRDefault="003A289F" w:rsidP="003A289F">
      <w:pPr>
        <w:autoSpaceDE w:val="0"/>
        <w:autoSpaceDN w:val="0"/>
        <w:adjustRightInd w:val="0"/>
        <w:rPr>
          <w:rFonts w:ascii="Century Gothic" w:hAnsi="Century Gothic"/>
          <w:b/>
          <w:bCs/>
          <w:sz w:val="22"/>
        </w:rPr>
      </w:pPr>
    </w:p>
    <w:p w14:paraId="00CD50E4" w14:textId="4A273F4E" w:rsidR="003A289F" w:rsidRPr="00054AFF" w:rsidRDefault="003A289F" w:rsidP="003A289F">
      <w:pPr>
        <w:autoSpaceDE w:val="0"/>
        <w:autoSpaceDN w:val="0"/>
        <w:adjustRightInd w:val="0"/>
        <w:rPr>
          <w:rFonts w:ascii="Century Gothic" w:hAnsi="Century Gothic"/>
          <w:sz w:val="22"/>
        </w:rPr>
      </w:pPr>
      <w:r>
        <w:rPr>
          <w:rFonts w:ascii="Century Gothic" w:eastAsiaTheme="majorEastAsia" w:hAnsi="Century Gothic" w:cstheme="majorBidi"/>
          <w:color w:val="365F91" w:themeColor="accent1" w:themeShade="BF"/>
          <w:sz w:val="22"/>
        </w:rPr>
        <w:t>I</w:t>
      </w:r>
      <w:r w:rsidR="00294584">
        <w:rPr>
          <w:rFonts w:ascii="Century Gothic" w:eastAsiaTheme="majorEastAsia" w:hAnsi="Century Gothic" w:cstheme="majorBidi"/>
          <w:color w:val="365F91" w:themeColor="accent1" w:themeShade="BF"/>
          <w:sz w:val="22"/>
        </w:rPr>
        <w:t>V</w:t>
      </w:r>
      <w:r w:rsidRPr="00054AFF">
        <w:rPr>
          <w:rFonts w:ascii="Century Gothic" w:eastAsiaTheme="majorEastAsia" w:hAnsi="Century Gothic" w:cstheme="majorBidi"/>
          <w:color w:val="365F91" w:themeColor="accent1" w:themeShade="BF"/>
          <w:sz w:val="22"/>
        </w:rPr>
        <w:t xml:space="preserve">. </w:t>
      </w:r>
      <w:r w:rsidRPr="00E85E9E">
        <w:rPr>
          <w:rFonts w:ascii="Century Gothic" w:eastAsiaTheme="majorEastAsia" w:hAnsi="Century Gothic" w:cstheme="majorBidi"/>
          <w:color w:val="4F81BD" w:themeColor="accent1"/>
          <w:sz w:val="22"/>
        </w:rPr>
        <w:t>CONSENT ORDERS</w:t>
      </w:r>
      <w:r>
        <w:rPr>
          <w:rFonts w:ascii="Century Gothic" w:eastAsiaTheme="majorEastAsia" w:hAnsi="Century Gothic" w:cstheme="majorBidi"/>
          <w:sz w:val="22"/>
        </w:rPr>
        <w:tab/>
      </w:r>
      <w:r>
        <w:rPr>
          <w:rFonts w:ascii="Century Gothic" w:eastAsiaTheme="majorEastAsia" w:hAnsi="Century Gothic" w:cstheme="majorBidi"/>
          <w:sz w:val="22"/>
        </w:rPr>
        <w:tab/>
      </w:r>
      <w:r>
        <w:rPr>
          <w:rFonts w:ascii="Century Gothic" w:eastAsiaTheme="majorEastAsia" w:hAnsi="Century Gothic" w:cstheme="majorBidi"/>
          <w:sz w:val="22"/>
        </w:rPr>
        <w:tab/>
      </w:r>
      <w:r w:rsidRPr="00054AFF">
        <w:rPr>
          <w:rFonts w:ascii="Century Gothic" w:hAnsi="Century Gothic"/>
          <w:b/>
          <w:bCs/>
          <w:sz w:val="22"/>
        </w:rPr>
        <w:tab/>
      </w:r>
      <w:r w:rsidRPr="00054AFF">
        <w:rPr>
          <w:rFonts w:ascii="Century Gothic" w:hAnsi="Century Gothic"/>
          <w:b/>
          <w:bCs/>
          <w:sz w:val="22"/>
        </w:rPr>
        <w:tab/>
      </w:r>
      <w:r>
        <w:rPr>
          <w:rFonts w:ascii="Century Gothic" w:hAnsi="Century Gothic"/>
          <w:b/>
          <w:bCs/>
          <w:sz w:val="22"/>
        </w:rPr>
        <w:tab/>
        <w:t>MELISSA LONG</w:t>
      </w:r>
      <w:r w:rsidRPr="00054AFF">
        <w:rPr>
          <w:rFonts w:ascii="Century Gothic" w:hAnsi="Century Gothic"/>
          <w:b/>
          <w:bCs/>
          <w:sz w:val="22"/>
        </w:rPr>
        <w:t xml:space="preserve"> </w:t>
      </w:r>
    </w:p>
    <w:p w14:paraId="22E498A5" w14:textId="77777777" w:rsidR="004C6B3C" w:rsidRDefault="004C6B3C" w:rsidP="003A289F">
      <w:pPr>
        <w:ind w:left="90" w:firstLine="720"/>
        <w:rPr>
          <w:b/>
          <w:sz w:val="22"/>
          <w:u w:val="single"/>
        </w:rPr>
      </w:pPr>
      <w:bookmarkStart w:id="1" w:name="_Hlk105675301"/>
    </w:p>
    <w:p w14:paraId="5FA4E6BC" w14:textId="0099AF3E" w:rsidR="003A289F" w:rsidRDefault="003A289F" w:rsidP="003A289F">
      <w:pPr>
        <w:ind w:left="90" w:firstLine="720"/>
        <w:rPr>
          <w:b/>
          <w:sz w:val="22"/>
        </w:rPr>
      </w:pPr>
      <w:r w:rsidRPr="00E46A53">
        <w:rPr>
          <w:b/>
          <w:sz w:val="22"/>
          <w:u w:val="single"/>
        </w:rPr>
        <w:t>Air</w:t>
      </w:r>
      <w:r w:rsidRPr="00E46A53">
        <w:rPr>
          <w:b/>
          <w:sz w:val="22"/>
        </w:rPr>
        <w:t xml:space="preserve">  </w:t>
      </w:r>
    </w:p>
    <w:p w14:paraId="24BBC1B9" w14:textId="77777777" w:rsidR="00C06AEF" w:rsidRDefault="00C06AEF" w:rsidP="00C06AEF">
      <w:pPr>
        <w:pStyle w:val="ListParagraph"/>
        <w:numPr>
          <w:ilvl w:val="0"/>
          <w:numId w:val="14"/>
        </w:numPr>
        <w:ind w:left="1440"/>
        <w:rPr>
          <w:rFonts w:ascii="Times New Roman" w:hAnsi="Times New Roman"/>
        </w:rPr>
      </w:pPr>
      <w:r w:rsidRPr="003E2671">
        <w:rPr>
          <w:b/>
          <w:bCs/>
          <w:sz w:val="20"/>
        </w:rPr>
        <w:t>Mittera Group, Inc.,</w:t>
      </w:r>
      <w:r w:rsidRPr="003E2671">
        <w:rPr>
          <w:sz w:val="20"/>
        </w:rPr>
        <w:t xml:space="preserve"> </w:t>
      </w:r>
      <w:r w:rsidRPr="003E2671">
        <w:rPr>
          <w:i/>
          <w:iCs/>
          <w:sz w:val="20"/>
        </w:rPr>
        <w:t xml:space="preserve">[AP-23-06 at </w:t>
      </w:r>
      <w:r w:rsidRPr="003E2671">
        <w:rPr>
          <w:sz w:val="20"/>
          <w:szCs w:val="20"/>
        </w:rPr>
        <w:t>10301 Busch Drive</w:t>
      </w:r>
      <w:r w:rsidRPr="003E2671">
        <w:rPr>
          <w:i/>
          <w:iCs/>
          <w:sz w:val="20"/>
        </w:rPr>
        <w:t>]</w:t>
      </w:r>
      <w:r w:rsidRPr="003E2671">
        <w:rPr>
          <w:sz w:val="20"/>
        </w:rPr>
        <w:t xml:space="preserve"> Failure to submit and maintain continuous monitoring records for EU001 and EU005, Failure to schedule VOC test and maintain control equipment for EU005, Failure to report the inability to comply with permit conditions</w:t>
      </w:r>
      <w:r w:rsidRPr="003E2671">
        <w:rPr>
          <w:rFonts w:ascii="Times New Roman" w:hAnsi="Times New Roman"/>
        </w:rPr>
        <w:t>.</w:t>
      </w:r>
    </w:p>
    <w:p w14:paraId="52039991" w14:textId="77777777" w:rsidR="00C06AEF" w:rsidRDefault="00C06AEF" w:rsidP="00C06AEF">
      <w:pPr>
        <w:rPr>
          <w:rFonts w:ascii="Times New Roman" w:hAnsi="Times New Roman"/>
        </w:rPr>
      </w:pPr>
    </w:p>
    <w:p w14:paraId="6F2734D4" w14:textId="77777777" w:rsidR="00C06AEF" w:rsidRPr="003E2671" w:rsidRDefault="00C06AEF" w:rsidP="00C06AEF">
      <w:pPr>
        <w:ind w:left="2160"/>
        <w:rPr>
          <w:bCs/>
          <w:sz w:val="18"/>
          <w:szCs w:val="18"/>
        </w:rPr>
      </w:pPr>
      <w:r w:rsidRPr="003E2671">
        <w:rPr>
          <w:bCs/>
          <w:sz w:val="18"/>
          <w:szCs w:val="18"/>
          <w:u w:val="single"/>
        </w:rPr>
        <w:t>Corrective Actions:</w:t>
      </w:r>
    </w:p>
    <w:p w14:paraId="4E228B19" w14:textId="77777777" w:rsidR="00C06AEF" w:rsidRPr="003E2671" w:rsidRDefault="00C06AEF" w:rsidP="00C06AEF">
      <w:pPr>
        <w:ind w:left="2160"/>
        <w:jc w:val="both"/>
        <w:rPr>
          <w:sz w:val="18"/>
          <w:szCs w:val="18"/>
        </w:rPr>
      </w:pPr>
      <w:r w:rsidRPr="003E2671">
        <w:rPr>
          <w:sz w:val="18"/>
          <w:szCs w:val="18"/>
        </w:rPr>
        <w:t xml:space="preserve">Repaired/replaced failed temperature monitoring equipment, Repaired malfunctioning control equipment, </w:t>
      </w:r>
      <w:proofErr w:type="gramStart"/>
      <w:r w:rsidRPr="003E2671">
        <w:rPr>
          <w:sz w:val="18"/>
          <w:szCs w:val="18"/>
        </w:rPr>
        <w:t>Stated</w:t>
      </w:r>
      <w:proofErr w:type="gramEnd"/>
      <w:r w:rsidRPr="003E2671">
        <w:rPr>
          <w:sz w:val="18"/>
          <w:szCs w:val="18"/>
        </w:rPr>
        <w:t xml:space="preserve"> understanding to perform testing required by permit on time, and understand to report inability to comply with permit requirements to the Permitting Authority immediately.</w:t>
      </w:r>
    </w:p>
    <w:p w14:paraId="1E3F0F15" w14:textId="77777777" w:rsidR="00C06AEF" w:rsidRPr="003E2671" w:rsidRDefault="00C06AEF" w:rsidP="00C06AEF">
      <w:pPr>
        <w:ind w:left="2160"/>
        <w:rPr>
          <w:bCs/>
          <w:sz w:val="18"/>
          <w:szCs w:val="18"/>
        </w:rPr>
      </w:pPr>
    </w:p>
    <w:p w14:paraId="743259AA" w14:textId="77777777" w:rsidR="00C06AEF" w:rsidRPr="003E2671" w:rsidRDefault="00C06AEF" w:rsidP="00C06AEF">
      <w:pPr>
        <w:ind w:left="2160"/>
        <w:rPr>
          <w:sz w:val="18"/>
          <w:szCs w:val="18"/>
        </w:rPr>
      </w:pPr>
      <w:r w:rsidRPr="003E2671">
        <w:rPr>
          <w:bCs/>
          <w:sz w:val="18"/>
          <w:szCs w:val="18"/>
          <w:u w:val="single"/>
        </w:rPr>
        <w:t>Consent Order settlement fee:</w:t>
      </w:r>
      <w:r w:rsidRPr="00800137">
        <w:rPr>
          <w:bCs/>
          <w:sz w:val="18"/>
          <w:szCs w:val="18"/>
        </w:rPr>
        <w:tab/>
      </w:r>
      <w:r w:rsidRPr="003E2671">
        <w:rPr>
          <w:b/>
          <w:bCs/>
          <w:sz w:val="18"/>
          <w:szCs w:val="18"/>
        </w:rPr>
        <w:t>$35,150</w:t>
      </w:r>
    </w:p>
    <w:p w14:paraId="4AA6C212" w14:textId="77777777" w:rsidR="00C06AEF" w:rsidRPr="003E2671" w:rsidRDefault="00C06AEF" w:rsidP="00C06AEF">
      <w:pPr>
        <w:ind w:left="2160"/>
        <w:rPr>
          <w:bCs/>
          <w:sz w:val="18"/>
          <w:szCs w:val="18"/>
        </w:rPr>
      </w:pPr>
    </w:p>
    <w:p w14:paraId="7A701B5B" w14:textId="77777777" w:rsidR="00C06AEF" w:rsidRPr="003E2671" w:rsidRDefault="00C06AEF" w:rsidP="00C06AEF">
      <w:pPr>
        <w:ind w:left="2160"/>
        <w:rPr>
          <w:bCs/>
          <w:sz w:val="18"/>
          <w:szCs w:val="18"/>
        </w:rPr>
      </w:pPr>
      <w:r w:rsidRPr="003E2671">
        <w:rPr>
          <w:bCs/>
          <w:sz w:val="18"/>
          <w:szCs w:val="18"/>
          <w:u w:val="single"/>
        </w:rPr>
        <w:t>Consent Order requirements</w:t>
      </w:r>
      <w:r w:rsidRPr="003E2671">
        <w:rPr>
          <w:bCs/>
          <w:sz w:val="18"/>
          <w:szCs w:val="18"/>
        </w:rPr>
        <w:t>:</w:t>
      </w:r>
    </w:p>
    <w:p w14:paraId="39D664B3" w14:textId="77777777" w:rsidR="00C06AEF" w:rsidRDefault="00C06AEF" w:rsidP="00C06AEF">
      <w:pPr>
        <w:ind w:left="2160"/>
        <w:jc w:val="both"/>
        <w:rPr>
          <w:sz w:val="18"/>
          <w:szCs w:val="18"/>
        </w:rPr>
      </w:pPr>
      <w:r w:rsidRPr="003E2671">
        <w:rPr>
          <w:sz w:val="18"/>
          <w:szCs w:val="18"/>
        </w:rPr>
        <w:t>Submit AC permit within 45 days to incorporate agreed upon conditions.</w:t>
      </w:r>
    </w:p>
    <w:p w14:paraId="6C840334" w14:textId="77777777" w:rsidR="004C6B3C" w:rsidRDefault="004C6B3C" w:rsidP="00C06AEF">
      <w:pPr>
        <w:ind w:left="2160"/>
        <w:jc w:val="both"/>
        <w:rPr>
          <w:sz w:val="18"/>
          <w:szCs w:val="18"/>
        </w:rPr>
      </w:pPr>
    </w:p>
    <w:p w14:paraId="6D3354C2" w14:textId="77777777" w:rsidR="004C6B3C" w:rsidRDefault="004C6B3C" w:rsidP="00C06AEF">
      <w:pPr>
        <w:ind w:left="2160"/>
        <w:jc w:val="both"/>
        <w:rPr>
          <w:sz w:val="18"/>
          <w:szCs w:val="18"/>
        </w:rPr>
      </w:pPr>
    </w:p>
    <w:p w14:paraId="552B8FD7" w14:textId="77777777" w:rsidR="004C6B3C" w:rsidRDefault="004C6B3C" w:rsidP="00C06AEF">
      <w:pPr>
        <w:ind w:left="2160"/>
        <w:jc w:val="both"/>
        <w:rPr>
          <w:sz w:val="18"/>
          <w:szCs w:val="18"/>
        </w:rPr>
      </w:pPr>
    </w:p>
    <w:p w14:paraId="65FA15E4" w14:textId="77777777" w:rsidR="004C6B3C" w:rsidRPr="004C6B3C" w:rsidRDefault="004C6B3C" w:rsidP="004C6B3C">
      <w:pPr>
        <w:pStyle w:val="ListParagraph"/>
        <w:numPr>
          <w:ilvl w:val="0"/>
          <w:numId w:val="14"/>
        </w:numPr>
        <w:ind w:left="1080"/>
        <w:jc w:val="both"/>
        <w:rPr>
          <w:sz w:val="20"/>
        </w:rPr>
      </w:pPr>
      <w:r w:rsidRPr="004C6B3C">
        <w:rPr>
          <w:b/>
          <w:bCs/>
          <w:sz w:val="20"/>
        </w:rPr>
        <w:lastRenderedPageBreak/>
        <w:t>Oldcastle APG South, Inc</w:t>
      </w:r>
      <w:r w:rsidRPr="004C6B3C">
        <w:rPr>
          <w:sz w:val="20"/>
        </w:rPr>
        <w:t>. [</w:t>
      </w:r>
      <w:r w:rsidRPr="004C6B3C">
        <w:rPr>
          <w:i/>
          <w:iCs/>
          <w:sz w:val="20"/>
        </w:rPr>
        <w:t xml:space="preserve">AP-23-11 at 6659 Highway </w:t>
      </w:r>
      <w:proofErr w:type="gramStart"/>
      <w:r w:rsidRPr="004C6B3C">
        <w:rPr>
          <w:i/>
          <w:iCs/>
          <w:sz w:val="20"/>
        </w:rPr>
        <w:t>Avenue</w:t>
      </w:r>
      <w:r w:rsidRPr="004C6B3C">
        <w:rPr>
          <w:sz w:val="20"/>
        </w:rPr>
        <w:t xml:space="preserve">]  </w:t>
      </w:r>
      <w:bookmarkStart w:id="2" w:name="_Hlk98931087"/>
      <w:r w:rsidRPr="004C6B3C">
        <w:rPr>
          <w:sz w:val="20"/>
        </w:rPr>
        <w:t>Failure</w:t>
      </w:r>
      <w:proofErr w:type="gramEnd"/>
      <w:r w:rsidRPr="004C6B3C">
        <w:rPr>
          <w:sz w:val="20"/>
        </w:rPr>
        <w:t xml:space="preserve"> to conduct annual visible emissions (“VE”) compliance test by January 1, 2023 for EU 001, 002, 004, 005, 006 for year 2022</w:t>
      </w:r>
      <w:bookmarkEnd w:id="2"/>
    </w:p>
    <w:p w14:paraId="65D952B1" w14:textId="77777777" w:rsidR="004C6B3C" w:rsidRPr="003E2671" w:rsidRDefault="004C6B3C" w:rsidP="00C06AEF">
      <w:pPr>
        <w:ind w:left="2160"/>
        <w:jc w:val="both"/>
        <w:rPr>
          <w:sz w:val="18"/>
          <w:szCs w:val="18"/>
        </w:rPr>
      </w:pPr>
    </w:p>
    <w:p w14:paraId="4B8E0E6F" w14:textId="77777777" w:rsidR="004C6B3C" w:rsidRPr="004C6B3C" w:rsidRDefault="004C6B3C" w:rsidP="004C6B3C">
      <w:pPr>
        <w:widowControl w:val="0"/>
        <w:spacing w:line="218" w:lineRule="auto"/>
        <w:ind w:left="2160"/>
        <w:jc w:val="both"/>
        <w:rPr>
          <w:bCs/>
          <w:sz w:val="18"/>
          <w:szCs w:val="18"/>
        </w:rPr>
      </w:pPr>
      <w:r w:rsidRPr="004C6B3C">
        <w:rPr>
          <w:bCs/>
          <w:sz w:val="18"/>
          <w:szCs w:val="18"/>
          <w:u w:val="single"/>
        </w:rPr>
        <w:t>Corrective Actions:</w:t>
      </w:r>
    </w:p>
    <w:p w14:paraId="23CCA832" w14:textId="77777777" w:rsidR="004C6B3C" w:rsidRPr="004C6B3C" w:rsidRDefault="004C6B3C" w:rsidP="004C6B3C">
      <w:pPr>
        <w:widowControl w:val="0"/>
        <w:spacing w:line="218" w:lineRule="auto"/>
        <w:ind w:left="2160"/>
        <w:jc w:val="both"/>
        <w:rPr>
          <w:bCs/>
          <w:sz w:val="18"/>
          <w:szCs w:val="18"/>
        </w:rPr>
      </w:pPr>
      <w:r w:rsidRPr="004C6B3C">
        <w:rPr>
          <w:bCs/>
          <w:sz w:val="18"/>
          <w:szCs w:val="18"/>
        </w:rPr>
        <w:t>None</w:t>
      </w:r>
    </w:p>
    <w:p w14:paraId="7D5D40E8" w14:textId="77777777" w:rsidR="004C6B3C" w:rsidRPr="004C6B3C" w:rsidRDefault="004C6B3C" w:rsidP="004C6B3C">
      <w:pPr>
        <w:widowControl w:val="0"/>
        <w:spacing w:line="218" w:lineRule="auto"/>
        <w:ind w:left="2160"/>
        <w:jc w:val="both"/>
        <w:rPr>
          <w:bCs/>
          <w:sz w:val="18"/>
          <w:szCs w:val="18"/>
          <w:u w:val="single"/>
        </w:rPr>
      </w:pPr>
    </w:p>
    <w:p w14:paraId="7D8FEDB4" w14:textId="77777777" w:rsidR="004C6B3C" w:rsidRPr="004C6B3C" w:rsidRDefault="004C6B3C" w:rsidP="004C6B3C">
      <w:pPr>
        <w:widowControl w:val="0"/>
        <w:spacing w:line="218" w:lineRule="auto"/>
        <w:ind w:left="2160"/>
        <w:jc w:val="both"/>
        <w:rPr>
          <w:bCs/>
          <w:sz w:val="18"/>
          <w:szCs w:val="18"/>
          <w:u w:val="single"/>
        </w:rPr>
      </w:pPr>
      <w:r w:rsidRPr="004C6B3C">
        <w:rPr>
          <w:bCs/>
          <w:sz w:val="18"/>
          <w:szCs w:val="18"/>
          <w:u w:val="single"/>
        </w:rPr>
        <w:t>ND response to alleged violation(s):</w:t>
      </w:r>
    </w:p>
    <w:p w14:paraId="159F021D" w14:textId="77777777" w:rsidR="004C6B3C" w:rsidRPr="004C6B3C" w:rsidRDefault="004C6B3C" w:rsidP="004C6B3C">
      <w:pPr>
        <w:widowControl w:val="0"/>
        <w:spacing w:line="218" w:lineRule="auto"/>
        <w:ind w:left="2160"/>
        <w:jc w:val="both"/>
        <w:rPr>
          <w:bCs/>
          <w:sz w:val="18"/>
          <w:szCs w:val="18"/>
        </w:rPr>
      </w:pPr>
      <w:r w:rsidRPr="004C6B3C">
        <w:rPr>
          <w:bCs/>
          <w:sz w:val="18"/>
          <w:szCs w:val="18"/>
        </w:rPr>
        <w:t>Cease and Desist Citation AP-23-11 issued.</w:t>
      </w:r>
    </w:p>
    <w:p w14:paraId="1020BF6C" w14:textId="77777777" w:rsidR="004C6B3C" w:rsidRPr="004C6B3C" w:rsidRDefault="004C6B3C" w:rsidP="004C6B3C">
      <w:pPr>
        <w:widowControl w:val="0"/>
        <w:spacing w:line="218" w:lineRule="auto"/>
        <w:ind w:left="2160"/>
        <w:jc w:val="both"/>
        <w:rPr>
          <w:b/>
          <w:bCs/>
          <w:sz w:val="18"/>
          <w:szCs w:val="18"/>
        </w:rPr>
      </w:pPr>
    </w:p>
    <w:p w14:paraId="14C8D5DB" w14:textId="6B51B1DD" w:rsidR="004C6B3C" w:rsidRPr="004C6B3C" w:rsidRDefault="004C6B3C" w:rsidP="004C6B3C">
      <w:pPr>
        <w:widowControl w:val="0"/>
        <w:spacing w:line="218" w:lineRule="auto"/>
        <w:ind w:left="2160"/>
        <w:jc w:val="both"/>
        <w:rPr>
          <w:bCs/>
          <w:sz w:val="18"/>
          <w:szCs w:val="18"/>
        </w:rPr>
      </w:pPr>
      <w:r w:rsidRPr="004C6B3C">
        <w:rPr>
          <w:bCs/>
          <w:sz w:val="18"/>
          <w:szCs w:val="18"/>
          <w:u w:val="single"/>
        </w:rPr>
        <w:t xml:space="preserve">Consent Order settlement fee: </w:t>
      </w:r>
      <w:r w:rsidRPr="004C6B3C">
        <w:rPr>
          <w:b/>
          <w:sz w:val="18"/>
          <w:szCs w:val="18"/>
        </w:rPr>
        <w:t>$4,500</w:t>
      </w:r>
    </w:p>
    <w:p w14:paraId="03C858E6" w14:textId="77777777" w:rsidR="00294584" w:rsidRDefault="00294584" w:rsidP="003A289F">
      <w:pPr>
        <w:widowControl w:val="0"/>
        <w:spacing w:line="218" w:lineRule="auto"/>
        <w:jc w:val="both"/>
        <w:rPr>
          <w:bCs/>
          <w:sz w:val="22"/>
        </w:rPr>
      </w:pPr>
    </w:p>
    <w:p w14:paraId="0758BEBE" w14:textId="77777777" w:rsidR="00294584" w:rsidRDefault="00294584" w:rsidP="003A289F">
      <w:pPr>
        <w:widowControl w:val="0"/>
        <w:spacing w:line="218" w:lineRule="auto"/>
        <w:jc w:val="both"/>
        <w:rPr>
          <w:bCs/>
          <w:sz w:val="22"/>
        </w:rPr>
      </w:pPr>
    </w:p>
    <w:p w14:paraId="5578FADB" w14:textId="77777777" w:rsidR="003A289F" w:rsidRDefault="003A289F" w:rsidP="003A289F">
      <w:pPr>
        <w:ind w:left="90" w:firstLine="720"/>
        <w:rPr>
          <w:b/>
          <w:sz w:val="22"/>
          <w:u w:val="single"/>
        </w:rPr>
      </w:pPr>
      <w:r w:rsidRPr="00E46A53">
        <w:rPr>
          <w:b/>
          <w:sz w:val="22"/>
          <w:u w:val="single"/>
        </w:rPr>
        <w:t>Water</w:t>
      </w:r>
    </w:p>
    <w:p w14:paraId="1D3C8F63" w14:textId="77777777" w:rsidR="003A289F" w:rsidRDefault="003A289F" w:rsidP="003A289F">
      <w:pPr>
        <w:ind w:left="90" w:firstLine="720"/>
        <w:rPr>
          <w:b/>
          <w:sz w:val="22"/>
          <w:u w:val="single"/>
        </w:rPr>
      </w:pPr>
    </w:p>
    <w:p w14:paraId="3B13ACA5" w14:textId="77777777" w:rsidR="00C06AEF" w:rsidRPr="003E2671" w:rsidRDefault="00C06AEF" w:rsidP="00C06AEF">
      <w:pPr>
        <w:pStyle w:val="ListParagraph"/>
        <w:numPr>
          <w:ilvl w:val="0"/>
          <w:numId w:val="14"/>
        </w:numPr>
        <w:ind w:left="1440"/>
        <w:rPr>
          <w:sz w:val="20"/>
          <w:szCs w:val="20"/>
        </w:rPr>
      </w:pPr>
      <w:bookmarkStart w:id="3" w:name="_Hlk144893170"/>
      <w:r w:rsidRPr="003E2671">
        <w:rPr>
          <w:rFonts w:eastAsia="Arial"/>
          <w:b/>
          <w:bCs/>
          <w:color w:val="000000" w:themeColor="text1"/>
          <w:sz w:val="20"/>
          <w:szCs w:val="20"/>
        </w:rPr>
        <w:t>A2.176720 12</w:t>
      </w:r>
      <w:r w:rsidRPr="003E2671">
        <w:rPr>
          <w:rFonts w:eastAsia="Arial"/>
          <w:b/>
          <w:bCs/>
          <w:color w:val="000000" w:themeColor="text1"/>
          <w:sz w:val="20"/>
          <w:szCs w:val="20"/>
          <w:vertAlign w:val="superscript"/>
        </w:rPr>
        <w:t>th</w:t>
      </w:r>
      <w:r w:rsidRPr="003E2671">
        <w:rPr>
          <w:rFonts w:eastAsia="Arial"/>
          <w:b/>
          <w:bCs/>
          <w:color w:val="000000" w:themeColor="text1"/>
          <w:sz w:val="20"/>
          <w:szCs w:val="20"/>
        </w:rPr>
        <w:t xml:space="preserve"> LLC </w:t>
      </w:r>
      <w:r w:rsidRPr="003E2671">
        <w:rPr>
          <w:i/>
          <w:iCs/>
          <w:sz w:val="20"/>
          <w:szCs w:val="20"/>
        </w:rPr>
        <w:t>[WP-23-38 at 6720 12</w:t>
      </w:r>
      <w:r w:rsidRPr="003E2671">
        <w:rPr>
          <w:i/>
          <w:iCs/>
          <w:sz w:val="20"/>
          <w:szCs w:val="20"/>
          <w:vertAlign w:val="superscript"/>
        </w:rPr>
        <w:t>th</w:t>
      </w:r>
      <w:r w:rsidRPr="003E2671">
        <w:rPr>
          <w:i/>
          <w:iCs/>
          <w:sz w:val="20"/>
          <w:szCs w:val="20"/>
        </w:rPr>
        <w:t xml:space="preserve"> Street] </w:t>
      </w:r>
      <w:r w:rsidRPr="003E2671">
        <w:rPr>
          <w:sz w:val="20"/>
          <w:szCs w:val="20"/>
        </w:rPr>
        <w:t>Discharge of non-stormwater to City Municipal Separate Storm Sewer System (“MS4”); Turbidity discharge to surface water in exceedance of surface water quality standards.</w:t>
      </w:r>
    </w:p>
    <w:p w14:paraId="7CD2F9AC" w14:textId="77777777" w:rsidR="00C06AEF" w:rsidRPr="003E2671" w:rsidRDefault="00C06AEF" w:rsidP="00C06AEF">
      <w:pPr>
        <w:widowControl w:val="0"/>
        <w:jc w:val="both"/>
        <w:rPr>
          <w:rFonts w:eastAsia="Times New Roman" w:cs="Arial"/>
          <w:bCs/>
          <w:snapToGrid w:val="0"/>
          <w:sz w:val="20"/>
          <w:szCs w:val="20"/>
        </w:rPr>
      </w:pPr>
    </w:p>
    <w:bookmarkEnd w:id="3"/>
    <w:p w14:paraId="44C1437B" w14:textId="77777777" w:rsidR="00C06AEF" w:rsidRPr="003E2671" w:rsidRDefault="00C06AEF" w:rsidP="00C06AEF">
      <w:pPr>
        <w:ind w:left="2160"/>
        <w:rPr>
          <w:bCs/>
          <w:sz w:val="18"/>
          <w:szCs w:val="18"/>
        </w:rPr>
      </w:pPr>
      <w:r w:rsidRPr="003E2671">
        <w:rPr>
          <w:bCs/>
          <w:sz w:val="18"/>
          <w:szCs w:val="18"/>
          <w:u w:val="single"/>
        </w:rPr>
        <w:t>Corrective Actions:</w:t>
      </w:r>
    </w:p>
    <w:p w14:paraId="4546933C" w14:textId="77777777" w:rsidR="00C06AEF" w:rsidRPr="003E2671" w:rsidRDefault="00C06AEF" w:rsidP="00C06AEF">
      <w:pPr>
        <w:ind w:left="2160"/>
        <w:rPr>
          <w:b/>
          <w:sz w:val="18"/>
          <w:szCs w:val="18"/>
        </w:rPr>
      </w:pPr>
      <w:proofErr w:type="gramStart"/>
      <w:r w:rsidRPr="003E2671">
        <w:rPr>
          <w:bCs/>
          <w:sz w:val="18"/>
          <w:szCs w:val="18"/>
        </w:rPr>
        <w:t>Site</w:t>
      </w:r>
      <w:proofErr w:type="gramEnd"/>
      <w:r w:rsidRPr="003E2671">
        <w:rPr>
          <w:bCs/>
          <w:sz w:val="18"/>
          <w:szCs w:val="18"/>
        </w:rPr>
        <w:t xml:space="preserve"> has been stabilized.</w:t>
      </w:r>
    </w:p>
    <w:p w14:paraId="3F8B3E90" w14:textId="77777777" w:rsidR="00C06AEF" w:rsidRPr="003E2671" w:rsidRDefault="00C06AEF" w:rsidP="00C06AEF">
      <w:pPr>
        <w:ind w:left="2160"/>
        <w:rPr>
          <w:b/>
          <w:sz w:val="18"/>
          <w:szCs w:val="18"/>
        </w:rPr>
      </w:pPr>
    </w:p>
    <w:p w14:paraId="5BEBE504" w14:textId="77777777" w:rsidR="00C06AEF" w:rsidRPr="003E2671" w:rsidRDefault="00C06AEF" w:rsidP="00C06AEF">
      <w:pPr>
        <w:ind w:left="2160"/>
        <w:rPr>
          <w:bCs/>
          <w:sz w:val="18"/>
          <w:szCs w:val="18"/>
          <w:u w:val="single"/>
        </w:rPr>
      </w:pPr>
      <w:r w:rsidRPr="003E2671">
        <w:rPr>
          <w:bCs/>
          <w:sz w:val="18"/>
          <w:szCs w:val="18"/>
          <w:u w:val="single"/>
        </w:rPr>
        <w:t>ND response to alleged violation(s):</w:t>
      </w:r>
    </w:p>
    <w:p w14:paraId="03BDA7F8" w14:textId="77777777" w:rsidR="00C06AEF" w:rsidRPr="003E2671" w:rsidRDefault="00C06AEF" w:rsidP="00C06AEF">
      <w:pPr>
        <w:ind w:left="2160"/>
        <w:rPr>
          <w:bCs/>
          <w:sz w:val="18"/>
          <w:szCs w:val="18"/>
        </w:rPr>
      </w:pPr>
      <w:r w:rsidRPr="003E2671">
        <w:rPr>
          <w:bCs/>
          <w:sz w:val="18"/>
          <w:szCs w:val="18"/>
        </w:rPr>
        <w:t xml:space="preserve">Cease and Desist Citation WP-23-38 </w:t>
      </w:r>
      <w:proofErr w:type="gramStart"/>
      <w:r w:rsidRPr="003E2671">
        <w:rPr>
          <w:bCs/>
          <w:sz w:val="18"/>
          <w:szCs w:val="18"/>
        </w:rPr>
        <w:t>issued</w:t>
      </w:r>
      <w:proofErr w:type="gramEnd"/>
    </w:p>
    <w:p w14:paraId="1DE17C95" w14:textId="77777777" w:rsidR="00C06AEF" w:rsidRPr="003E2671" w:rsidRDefault="00C06AEF" w:rsidP="00C06AEF">
      <w:pPr>
        <w:ind w:left="2160"/>
        <w:rPr>
          <w:b/>
          <w:sz w:val="18"/>
          <w:szCs w:val="18"/>
        </w:rPr>
      </w:pPr>
    </w:p>
    <w:p w14:paraId="6E752F67" w14:textId="77777777" w:rsidR="00C06AEF" w:rsidRPr="003E2671" w:rsidRDefault="00C06AEF" w:rsidP="00C06AEF">
      <w:pPr>
        <w:ind w:left="2160"/>
        <w:rPr>
          <w:sz w:val="18"/>
          <w:szCs w:val="18"/>
        </w:rPr>
      </w:pPr>
      <w:r w:rsidRPr="003E2671">
        <w:rPr>
          <w:sz w:val="18"/>
          <w:szCs w:val="18"/>
          <w:u w:val="single"/>
        </w:rPr>
        <w:t>Consent Order settlement fee:</w:t>
      </w:r>
      <w:r w:rsidRPr="00800137">
        <w:rPr>
          <w:sz w:val="18"/>
          <w:szCs w:val="18"/>
        </w:rPr>
        <w:tab/>
      </w:r>
      <w:r w:rsidRPr="00800137">
        <w:rPr>
          <w:b/>
          <w:bCs/>
          <w:sz w:val="18"/>
          <w:szCs w:val="18"/>
        </w:rPr>
        <w:t>$6400</w:t>
      </w:r>
    </w:p>
    <w:p w14:paraId="20A86301" w14:textId="77777777" w:rsidR="00C06AEF" w:rsidRPr="003E2671" w:rsidRDefault="00C06AEF" w:rsidP="00C06AEF">
      <w:pPr>
        <w:ind w:left="2160"/>
        <w:rPr>
          <w:sz w:val="18"/>
          <w:szCs w:val="18"/>
        </w:rPr>
      </w:pPr>
    </w:p>
    <w:p w14:paraId="76EAD615" w14:textId="77777777" w:rsidR="00C06AEF" w:rsidRPr="003E2671" w:rsidRDefault="00C06AEF" w:rsidP="00C06AEF">
      <w:pPr>
        <w:ind w:left="2160"/>
        <w:rPr>
          <w:sz w:val="18"/>
          <w:szCs w:val="18"/>
        </w:rPr>
      </w:pPr>
      <w:r w:rsidRPr="003E2671">
        <w:rPr>
          <w:sz w:val="18"/>
          <w:szCs w:val="18"/>
          <w:u w:val="single"/>
        </w:rPr>
        <w:t>Consent Order requirements</w:t>
      </w:r>
      <w:r w:rsidRPr="003E2671">
        <w:rPr>
          <w:sz w:val="18"/>
          <w:szCs w:val="18"/>
        </w:rPr>
        <w:t>:</w:t>
      </w:r>
    </w:p>
    <w:p w14:paraId="2A23D0BA" w14:textId="77777777" w:rsidR="00C06AEF" w:rsidRDefault="00C06AEF" w:rsidP="00C06AEF">
      <w:pPr>
        <w:ind w:left="2160"/>
        <w:rPr>
          <w:sz w:val="18"/>
          <w:szCs w:val="18"/>
        </w:rPr>
      </w:pPr>
      <w:r w:rsidRPr="003E2671">
        <w:rPr>
          <w:sz w:val="18"/>
          <w:szCs w:val="18"/>
        </w:rPr>
        <w:t>Payment only</w:t>
      </w:r>
    </w:p>
    <w:p w14:paraId="73CF5B78" w14:textId="77777777" w:rsidR="004C6B3C" w:rsidRPr="003E2671" w:rsidRDefault="004C6B3C" w:rsidP="00C06AEF">
      <w:pPr>
        <w:ind w:left="2160"/>
        <w:rPr>
          <w:sz w:val="18"/>
          <w:szCs w:val="18"/>
        </w:rPr>
      </w:pPr>
    </w:p>
    <w:p w14:paraId="3B0B3508" w14:textId="77777777" w:rsidR="00C06AEF" w:rsidRPr="00800137" w:rsidRDefault="00C06AEF" w:rsidP="00C06AEF">
      <w:pPr>
        <w:pStyle w:val="ListParagraph"/>
        <w:numPr>
          <w:ilvl w:val="0"/>
          <w:numId w:val="14"/>
        </w:numPr>
        <w:ind w:left="1440"/>
        <w:jc w:val="both"/>
        <w:rPr>
          <w:rFonts w:eastAsia="Times New Roman"/>
          <w:b/>
          <w:bCs/>
          <w:sz w:val="20"/>
          <w:szCs w:val="20"/>
        </w:rPr>
      </w:pPr>
      <w:r w:rsidRPr="00800137">
        <w:rPr>
          <w:rFonts w:eastAsia="Times New Roman"/>
          <w:b/>
          <w:bCs/>
          <w:sz w:val="20"/>
          <w:szCs w:val="20"/>
        </w:rPr>
        <w:t xml:space="preserve">Hendricks </w:t>
      </w:r>
      <w:proofErr w:type="spellStart"/>
      <w:r w:rsidRPr="00800137">
        <w:rPr>
          <w:rFonts w:eastAsia="Times New Roman"/>
          <w:b/>
          <w:bCs/>
          <w:sz w:val="20"/>
          <w:szCs w:val="20"/>
        </w:rPr>
        <w:t>SanMarc</w:t>
      </w:r>
      <w:proofErr w:type="spellEnd"/>
      <w:r w:rsidRPr="00800137">
        <w:rPr>
          <w:rFonts w:eastAsia="Times New Roman"/>
          <w:b/>
          <w:bCs/>
          <w:sz w:val="20"/>
          <w:szCs w:val="20"/>
        </w:rPr>
        <w:t xml:space="preserve"> LLC; Atlantic Site &amp; Marine, Inc.; and Live Oak Contracting, LLC</w:t>
      </w:r>
    </w:p>
    <w:p w14:paraId="37FE35FE" w14:textId="77777777" w:rsidR="00C06AEF" w:rsidRPr="00800137" w:rsidRDefault="00C06AEF" w:rsidP="00C06AEF">
      <w:pPr>
        <w:pStyle w:val="ListParagraph"/>
        <w:ind w:left="1440"/>
        <w:jc w:val="both"/>
        <w:rPr>
          <w:sz w:val="20"/>
          <w:szCs w:val="20"/>
        </w:rPr>
      </w:pPr>
      <w:r w:rsidRPr="00800137">
        <w:rPr>
          <w:i/>
          <w:iCs/>
          <w:sz w:val="20"/>
          <w:szCs w:val="20"/>
        </w:rPr>
        <w:t>[WP-23-30 at 0 Thacker Avenue]</w:t>
      </w:r>
      <w:r w:rsidRPr="00800137">
        <w:rPr>
          <w:sz w:val="20"/>
          <w:szCs w:val="20"/>
        </w:rPr>
        <w:t xml:space="preserve"> </w:t>
      </w:r>
      <w:r w:rsidRPr="00800137">
        <w:rPr>
          <w:color w:val="000000"/>
          <w:sz w:val="20"/>
          <w:szCs w:val="20"/>
        </w:rPr>
        <w:t>Discharge of non-stormwater to City municipal separate storm sewer system (“MS4”); Failure to comply with erosion and sediment control requirements</w:t>
      </w:r>
      <w:r w:rsidRPr="00800137">
        <w:rPr>
          <w:rFonts w:eastAsia="Arial"/>
          <w:color w:val="000000"/>
          <w:sz w:val="20"/>
          <w:szCs w:val="20"/>
        </w:rPr>
        <w:t>.</w:t>
      </w:r>
    </w:p>
    <w:p w14:paraId="2E6A330E" w14:textId="77777777" w:rsidR="00C06AEF" w:rsidRPr="00800137" w:rsidRDefault="00C06AEF" w:rsidP="00C06AEF">
      <w:pPr>
        <w:ind w:left="2160"/>
        <w:rPr>
          <w:sz w:val="18"/>
          <w:szCs w:val="18"/>
        </w:rPr>
      </w:pPr>
    </w:p>
    <w:p w14:paraId="3B357B80" w14:textId="77777777" w:rsidR="00C06AEF" w:rsidRPr="00800137" w:rsidRDefault="00C06AEF" w:rsidP="00C06AEF">
      <w:pPr>
        <w:ind w:left="2160"/>
        <w:rPr>
          <w:rFonts w:eastAsia="Arial"/>
          <w:sz w:val="18"/>
          <w:szCs w:val="18"/>
        </w:rPr>
      </w:pPr>
      <w:r w:rsidRPr="00800137">
        <w:rPr>
          <w:rFonts w:eastAsia="Arial"/>
          <w:sz w:val="18"/>
          <w:szCs w:val="18"/>
          <w:u w:val="single"/>
        </w:rPr>
        <w:t>Corrective Actions:</w:t>
      </w:r>
    </w:p>
    <w:p w14:paraId="0DCFA80F" w14:textId="77777777" w:rsidR="00C06AEF" w:rsidRPr="00800137" w:rsidRDefault="00C06AEF" w:rsidP="00C06AEF">
      <w:pPr>
        <w:ind w:left="2160"/>
        <w:rPr>
          <w:rFonts w:eastAsia="Arial"/>
          <w:sz w:val="18"/>
          <w:szCs w:val="18"/>
        </w:rPr>
      </w:pPr>
      <w:r w:rsidRPr="00800137">
        <w:rPr>
          <w:rFonts w:eastAsia="Arial"/>
          <w:sz w:val="18"/>
          <w:szCs w:val="18"/>
        </w:rPr>
        <w:t>BMPs were re-established and/or replaced.</w:t>
      </w:r>
    </w:p>
    <w:p w14:paraId="726EF0A8" w14:textId="77777777" w:rsidR="00C06AEF" w:rsidRPr="00800137" w:rsidRDefault="00C06AEF" w:rsidP="00C06AEF">
      <w:pPr>
        <w:ind w:left="2160"/>
        <w:rPr>
          <w:rFonts w:eastAsia="Arial"/>
          <w:sz w:val="18"/>
          <w:szCs w:val="18"/>
        </w:rPr>
      </w:pPr>
    </w:p>
    <w:p w14:paraId="2513597D" w14:textId="77777777" w:rsidR="00C06AEF" w:rsidRPr="00800137" w:rsidRDefault="00C06AEF" w:rsidP="00C06AEF">
      <w:pPr>
        <w:ind w:left="2160"/>
        <w:rPr>
          <w:rFonts w:eastAsia="Arial"/>
          <w:sz w:val="18"/>
          <w:szCs w:val="18"/>
        </w:rPr>
      </w:pPr>
      <w:r w:rsidRPr="00800137">
        <w:rPr>
          <w:rFonts w:eastAsia="Arial"/>
          <w:sz w:val="18"/>
          <w:szCs w:val="18"/>
          <w:u w:val="single"/>
        </w:rPr>
        <w:t>Consent Order settlement fee:</w:t>
      </w:r>
      <w:r w:rsidRPr="00800137">
        <w:rPr>
          <w:rFonts w:eastAsia="Arial"/>
          <w:sz w:val="18"/>
          <w:szCs w:val="18"/>
        </w:rPr>
        <w:t xml:space="preserve"> </w:t>
      </w:r>
      <w:r>
        <w:rPr>
          <w:rFonts w:eastAsia="Arial"/>
          <w:sz w:val="18"/>
          <w:szCs w:val="18"/>
        </w:rPr>
        <w:tab/>
      </w:r>
      <w:r w:rsidRPr="00800137">
        <w:rPr>
          <w:rFonts w:eastAsia="Arial"/>
          <w:b/>
          <w:bCs/>
          <w:sz w:val="18"/>
          <w:szCs w:val="18"/>
        </w:rPr>
        <w:t>$3500</w:t>
      </w:r>
    </w:p>
    <w:p w14:paraId="725CDF02" w14:textId="77777777" w:rsidR="00C06AEF" w:rsidRPr="00800137" w:rsidRDefault="00C06AEF" w:rsidP="00C06AEF">
      <w:pPr>
        <w:ind w:left="2160"/>
        <w:rPr>
          <w:rFonts w:eastAsia="Arial"/>
          <w:sz w:val="18"/>
          <w:szCs w:val="18"/>
        </w:rPr>
      </w:pPr>
    </w:p>
    <w:p w14:paraId="6FE43E51" w14:textId="77777777" w:rsidR="00C06AEF" w:rsidRPr="00800137" w:rsidRDefault="00C06AEF" w:rsidP="00C06AEF">
      <w:pPr>
        <w:ind w:left="2160"/>
        <w:rPr>
          <w:rFonts w:eastAsia="Arial"/>
          <w:sz w:val="18"/>
          <w:szCs w:val="18"/>
        </w:rPr>
      </w:pPr>
      <w:r w:rsidRPr="00800137">
        <w:rPr>
          <w:rFonts w:eastAsia="Arial"/>
          <w:sz w:val="18"/>
          <w:szCs w:val="18"/>
          <w:u w:val="single"/>
        </w:rPr>
        <w:t>Consent Order requirements</w:t>
      </w:r>
      <w:r w:rsidRPr="00800137">
        <w:rPr>
          <w:rFonts w:eastAsia="Arial"/>
          <w:sz w:val="18"/>
          <w:szCs w:val="18"/>
        </w:rPr>
        <w:t>:</w:t>
      </w:r>
    </w:p>
    <w:p w14:paraId="2237AD87" w14:textId="77777777" w:rsidR="00C06AEF" w:rsidRPr="00800137" w:rsidRDefault="00C06AEF" w:rsidP="00C06AEF">
      <w:pPr>
        <w:ind w:left="2160"/>
        <w:rPr>
          <w:rFonts w:eastAsia="Arial"/>
          <w:sz w:val="18"/>
          <w:szCs w:val="18"/>
        </w:rPr>
      </w:pPr>
      <w:r w:rsidRPr="00800137">
        <w:rPr>
          <w:rFonts w:eastAsia="Arial"/>
          <w:sz w:val="18"/>
          <w:szCs w:val="18"/>
        </w:rPr>
        <w:t>Payment only</w:t>
      </w:r>
    </w:p>
    <w:p w14:paraId="4D08D082" w14:textId="77777777" w:rsidR="00C06AEF" w:rsidRDefault="00C06AEF" w:rsidP="00C06AEF">
      <w:pPr>
        <w:rPr>
          <w:sz w:val="22"/>
        </w:rPr>
      </w:pPr>
    </w:p>
    <w:p w14:paraId="6633FB78" w14:textId="77777777" w:rsidR="00C06AEF" w:rsidRPr="00800137" w:rsidRDefault="00C06AEF" w:rsidP="00C06AEF">
      <w:pPr>
        <w:pStyle w:val="ListParagraph"/>
        <w:numPr>
          <w:ilvl w:val="0"/>
          <w:numId w:val="14"/>
        </w:numPr>
        <w:ind w:left="1440"/>
        <w:rPr>
          <w:rFonts w:eastAsia="Arial"/>
          <w:color w:val="000000"/>
          <w:sz w:val="20"/>
          <w:szCs w:val="20"/>
        </w:rPr>
      </w:pPr>
      <w:r w:rsidRPr="00800137">
        <w:rPr>
          <w:b/>
          <w:bCs/>
          <w:sz w:val="20"/>
          <w:szCs w:val="20"/>
        </w:rPr>
        <w:t>(</w:t>
      </w:r>
      <w:r w:rsidRPr="00800137">
        <w:rPr>
          <w:i/>
          <w:iCs/>
          <w:sz w:val="20"/>
          <w:szCs w:val="20"/>
        </w:rPr>
        <w:t>Pending</w:t>
      </w:r>
      <w:r w:rsidRPr="00800137">
        <w:rPr>
          <w:b/>
          <w:bCs/>
          <w:sz w:val="20"/>
          <w:szCs w:val="20"/>
        </w:rPr>
        <w:t xml:space="preserve">) Saige Property Holdings </w:t>
      </w:r>
      <w:proofErr w:type="gramStart"/>
      <w:r w:rsidRPr="00800137">
        <w:rPr>
          <w:b/>
          <w:bCs/>
          <w:sz w:val="20"/>
          <w:szCs w:val="20"/>
        </w:rPr>
        <w:t xml:space="preserve">LLC  </w:t>
      </w:r>
      <w:r w:rsidRPr="00800137">
        <w:rPr>
          <w:i/>
          <w:iCs/>
          <w:sz w:val="20"/>
          <w:szCs w:val="20"/>
        </w:rPr>
        <w:t>[</w:t>
      </w:r>
      <w:proofErr w:type="gramEnd"/>
      <w:r w:rsidRPr="00800137">
        <w:rPr>
          <w:i/>
          <w:iCs/>
          <w:sz w:val="20"/>
          <w:szCs w:val="20"/>
        </w:rPr>
        <w:t>WP-23-36 at 0 Powers Avenue]</w:t>
      </w:r>
      <w:r w:rsidRPr="00800137">
        <w:rPr>
          <w:sz w:val="20"/>
          <w:szCs w:val="20"/>
        </w:rPr>
        <w:t xml:space="preserve"> </w:t>
      </w:r>
      <w:r w:rsidRPr="00800137">
        <w:rPr>
          <w:color w:val="000000"/>
          <w:sz w:val="20"/>
          <w:szCs w:val="20"/>
        </w:rPr>
        <w:t>Discharge of non-stormwater to City municipal separate storm sewer system (“MS4”); Failure to comply with erosion and sediment control requirements</w:t>
      </w:r>
    </w:p>
    <w:p w14:paraId="7343082D" w14:textId="77777777" w:rsidR="00C06AEF" w:rsidRDefault="00C06AEF" w:rsidP="00C06AEF">
      <w:pPr>
        <w:rPr>
          <w:sz w:val="22"/>
        </w:rPr>
      </w:pPr>
    </w:p>
    <w:p w14:paraId="6D9DA187" w14:textId="77777777" w:rsidR="00C06AEF" w:rsidRPr="00800137" w:rsidRDefault="00C06AEF" w:rsidP="00C06AEF">
      <w:pPr>
        <w:ind w:left="2160"/>
        <w:rPr>
          <w:bCs/>
          <w:sz w:val="18"/>
          <w:szCs w:val="18"/>
        </w:rPr>
      </w:pPr>
      <w:r w:rsidRPr="00800137">
        <w:rPr>
          <w:bCs/>
          <w:sz w:val="18"/>
          <w:szCs w:val="18"/>
          <w:u w:val="single"/>
        </w:rPr>
        <w:t>Corrective Actions:</w:t>
      </w:r>
    </w:p>
    <w:p w14:paraId="534AA98F" w14:textId="77777777" w:rsidR="00C06AEF" w:rsidRPr="00800137" w:rsidRDefault="00C06AEF" w:rsidP="00C06AEF">
      <w:pPr>
        <w:ind w:left="2160"/>
        <w:rPr>
          <w:b/>
          <w:sz w:val="18"/>
          <w:szCs w:val="18"/>
        </w:rPr>
      </w:pPr>
      <w:r w:rsidRPr="00800137">
        <w:rPr>
          <w:bCs/>
          <w:sz w:val="18"/>
          <w:szCs w:val="18"/>
        </w:rPr>
        <w:t xml:space="preserve">The dewatering activity was cleaned up and </w:t>
      </w:r>
      <w:proofErr w:type="gramStart"/>
      <w:r w:rsidRPr="00800137">
        <w:rPr>
          <w:bCs/>
          <w:sz w:val="18"/>
          <w:szCs w:val="18"/>
        </w:rPr>
        <w:t>discharging</w:t>
      </w:r>
      <w:proofErr w:type="gramEnd"/>
      <w:r w:rsidRPr="00800137">
        <w:rPr>
          <w:bCs/>
          <w:sz w:val="18"/>
          <w:szCs w:val="18"/>
        </w:rPr>
        <w:t xml:space="preserve"> clear water.</w:t>
      </w:r>
    </w:p>
    <w:p w14:paraId="7257B3FB" w14:textId="77777777" w:rsidR="00C06AEF" w:rsidRPr="00800137" w:rsidRDefault="00C06AEF" w:rsidP="00C06AEF">
      <w:pPr>
        <w:ind w:left="2160"/>
        <w:rPr>
          <w:b/>
          <w:sz w:val="18"/>
          <w:szCs w:val="18"/>
        </w:rPr>
      </w:pPr>
    </w:p>
    <w:p w14:paraId="29A086A4" w14:textId="77777777" w:rsidR="00C06AEF" w:rsidRPr="00800137" w:rsidRDefault="00C06AEF" w:rsidP="00C06AEF">
      <w:pPr>
        <w:ind w:left="2160"/>
        <w:rPr>
          <w:sz w:val="18"/>
          <w:szCs w:val="18"/>
        </w:rPr>
      </w:pPr>
      <w:r w:rsidRPr="00800137">
        <w:rPr>
          <w:sz w:val="18"/>
          <w:szCs w:val="18"/>
          <w:u w:val="single"/>
        </w:rPr>
        <w:t>Consent Order settlement fee</w:t>
      </w:r>
      <w:r w:rsidRPr="00800137">
        <w:rPr>
          <w:sz w:val="18"/>
          <w:szCs w:val="18"/>
        </w:rPr>
        <w:t xml:space="preserve">: </w:t>
      </w:r>
      <w:r w:rsidRPr="00800137">
        <w:rPr>
          <w:sz w:val="18"/>
          <w:szCs w:val="18"/>
        </w:rPr>
        <w:tab/>
      </w:r>
      <w:r w:rsidRPr="00800137">
        <w:rPr>
          <w:b/>
          <w:bCs/>
          <w:sz w:val="18"/>
          <w:szCs w:val="18"/>
        </w:rPr>
        <w:t>$1500</w:t>
      </w:r>
    </w:p>
    <w:p w14:paraId="0E5A0F22" w14:textId="77777777" w:rsidR="00C06AEF" w:rsidRPr="00800137" w:rsidRDefault="00C06AEF" w:rsidP="00C06AEF">
      <w:pPr>
        <w:ind w:left="2160"/>
        <w:rPr>
          <w:sz w:val="18"/>
          <w:szCs w:val="18"/>
        </w:rPr>
      </w:pPr>
    </w:p>
    <w:p w14:paraId="30033EC1" w14:textId="77777777" w:rsidR="00C06AEF" w:rsidRPr="00800137" w:rsidRDefault="00C06AEF" w:rsidP="00C06AEF">
      <w:pPr>
        <w:ind w:left="2160"/>
        <w:rPr>
          <w:sz w:val="18"/>
          <w:szCs w:val="18"/>
        </w:rPr>
      </w:pPr>
      <w:r w:rsidRPr="00800137">
        <w:rPr>
          <w:sz w:val="18"/>
          <w:szCs w:val="18"/>
          <w:u w:val="single"/>
        </w:rPr>
        <w:t>Consent Order requirements</w:t>
      </w:r>
      <w:r w:rsidRPr="00800137">
        <w:rPr>
          <w:sz w:val="18"/>
          <w:szCs w:val="18"/>
        </w:rPr>
        <w:t>:</w:t>
      </w:r>
    </w:p>
    <w:p w14:paraId="078B3CD2" w14:textId="77777777" w:rsidR="00C06AEF" w:rsidRPr="00800137" w:rsidRDefault="00C06AEF" w:rsidP="00C06AEF">
      <w:pPr>
        <w:ind w:left="2160"/>
        <w:rPr>
          <w:sz w:val="18"/>
          <w:szCs w:val="18"/>
        </w:rPr>
      </w:pPr>
      <w:r w:rsidRPr="00800137">
        <w:rPr>
          <w:sz w:val="18"/>
          <w:szCs w:val="18"/>
        </w:rPr>
        <w:t>Payment only</w:t>
      </w:r>
    </w:p>
    <w:p w14:paraId="0CBA3B5C" w14:textId="77777777" w:rsidR="003A289F" w:rsidRDefault="003A289F" w:rsidP="003A289F">
      <w:pPr>
        <w:ind w:left="90" w:firstLine="720"/>
        <w:rPr>
          <w:b/>
          <w:sz w:val="22"/>
          <w:u w:val="single"/>
        </w:rPr>
      </w:pPr>
    </w:p>
    <w:p w14:paraId="765BB50F" w14:textId="77777777" w:rsidR="004C6B3C" w:rsidRDefault="004C6B3C" w:rsidP="003A289F">
      <w:pPr>
        <w:ind w:left="90" w:firstLine="720"/>
        <w:rPr>
          <w:b/>
          <w:sz w:val="22"/>
          <w:u w:val="single"/>
        </w:rPr>
      </w:pPr>
    </w:p>
    <w:p w14:paraId="6038DD96" w14:textId="77777777" w:rsidR="004C6B3C" w:rsidRDefault="004C6B3C" w:rsidP="003A289F">
      <w:pPr>
        <w:ind w:left="90" w:firstLine="720"/>
        <w:rPr>
          <w:b/>
          <w:sz w:val="22"/>
          <w:u w:val="single"/>
        </w:rPr>
      </w:pPr>
    </w:p>
    <w:p w14:paraId="2491A940" w14:textId="77777777" w:rsidR="004C6B3C" w:rsidRDefault="004C6B3C" w:rsidP="004C6B3C">
      <w:pPr>
        <w:pStyle w:val="ListParagraph"/>
        <w:numPr>
          <w:ilvl w:val="0"/>
          <w:numId w:val="14"/>
        </w:numPr>
        <w:ind w:left="1080"/>
        <w:rPr>
          <w:color w:val="000000"/>
          <w:sz w:val="20"/>
          <w:szCs w:val="20"/>
        </w:rPr>
      </w:pPr>
      <w:r w:rsidRPr="004C6B3C">
        <w:rPr>
          <w:b/>
          <w:bCs/>
          <w:color w:val="000000"/>
          <w:sz w:val="20"/>
          <w:szCs w:val="20"/>
        </w:rPr>
        <w:lastRenderedPageBreak/>
        <w:t>Cortez Pointe, Inc</w:t>
      </w:r>
      <w:r w:rsidRPr="004C6B3C">
        <w:rPr>
          <w:color w:val="000000"/>
          <w:sz w:val="20"/>
          <w:szCs w:val="20"/>
        </w:rPr>
        <w:t>. [</w:t>
      </w:r>
      <w:r w:rsidRPr="004C6B3C">
        <w:rPr>
          <w:i/>
          <w:iCs/>
          <w:color w:val="000000"/>
          <w:sz w:val="20"/>
          <w:szCs w:val="20"/>
        </w:rPr>
        <w:t>WP-23-21 at 0 University Blvd</w:t>
      </w:r>
      <w:r w:rsidRPr="004C6B3C">
        <w:rPr>
          <w:color w:val="000000"/>
          <w:sz w:val="20"/>
          <w:szCs w:val="20"/>
        </w:rPr>
        <w:t xml:space="preserve">.]  Discharge of non-stormwater to City municipal separate storm sewer system (“MS4”); Failure to comply with erosion and sediment control </w:t>
      </w:r>
      <w:proofErr w:type="gramStart"/>
      <w:r w:rsidRPr="004C6B3C">
        <w:rPr>
          <w:color w:val="000000"/>
          <w:sz w:val="20"/>
          <w:szCs w:val="20"/>
        </w:rPr>
        <w:t>requirements</w:t>
      </w:r>
      <w:proofErr w:type="gramEnd"/>
    </w:p>
    <w:p w14:paraId="378D8EE9" w14:textId="77777777" w:rsidR="004C6B3C" w:rsidRDefault="004C6B3C" w:rsidP="004C6B3C">
      <w:pPr>
        <w:rPr>
          <w:color w:val="000000"/>
          <w:sz w:val="20"/>
          <w:szCs w:val="20"/>
        </w:rPr>
      </w:pPr>
    </w:p>
    <w:p w14:paraId="47ADE52A" w14:textId="77777777" w:rsidR="004C6B3C" w:rsidRPr="004C6B3C" w:rsidRDefault="004C6B3C" w:rsidP="004C6B3C">
      <w:pPr>
        <w:ind w:left="2160"/>
        <w:rPr>
          <w:color w:val="000000"/>
          <w:sz w:val="18"/>
          <w:szCs w:val="18"/>
        </w:rPr>
      </w:pPr>
      <w:r w:rsidRPr="004C6B3C">
        <w:rPr>
          <w:color w:val="000000"/>
          <w:sz w:val="18"/>
          <w:szCs w:val="18"/>
          <w:u w:val="single"/>
        </w:rPr>
        <w:t>Corrective Actions:</w:t>
      </w:r>
    </w:p>
    <w:p w14:paraId="753D5E1C" w14:textId="77777777" w:rsidR="004C6B3C" w:rsidRPr="004C6B3C" w:rsidRDefault="004C6B3C" w:rsidP="004C6B3C">
      <w:pPr>
        <w:ind w:left="2160"/>
        <w:rPr>
          <w:color w:val="000000"/>
          <w:sz w:val="18"/>
          <w:szCs w:val="18"/>
        </w:rPr>
      </w:pPr>
      <w:r w:rsidRPr="004C6B3C">
        <w:rPr>
          <w:color w:val="000000"/>
          <w:sz w:val="18"/>
          <w:szCs w:val="18"/>
        </w:rPr>
        <w:t>Installed BMPs and ceased dewatering.</w:t>
      </w:r>
    </w:p>
    <w:p w14:paraId="4E5060EA" w14:textId="77777777" w:rsidR="004C6B3C" w:rsidRPr="004C6B3C" w:rsidRDefault="004C6B3C" w:rsidP="004C6B3C">
      <w:pPr>
        <w:ind w:left="2160"/>
        <w:rPr>
          <w:color w:val="000000"/>
          <w:sz w:val="18"/>
          <w:szCs w:val="18"/>
        </w:rPr>
      </w:pPr>
    </w:p>
    <w:p w14:paraId="417B1F0C" w14:textId="77777777" w:rsidR="004C6B3C" w:rsidRPr="004C6B3C" w:rsidRDefault="004C6B3C" w:rsidP="004C6B3C">
      <w:pPr>
        <w:ind w:left="2160"/>
        <w:rPr>
          <w:color w:val="000000"/>
          <w:sz w:val="18"/>
          <w:szCs w:val="18"/>
        </w:rPr>
      </w:pPr>
      <w:r w:rsidRPr="004C6B3C">
        <w:rPr>
          <w:color w:val="000000"/>
          <w:sz w:val="18"/>
          <w:szCs w:val="18"/>
          <w:u w:val="single"/>
        </w:rPr>
        <w:t xml:space="preserve">Consent Order settlement fee: </w:t>
      </w:r>
      <w:r w:rsidRPr="004C6B3C">
        <w:rPr>
          <w:b/>
          <w:bCs/>
          <w:color w:val="000000"/>
          <w:sz w:val="18"/>
          <w:szCs w:val="18"/>
        </w:rPr>
        <w:t>$2,800</w:t>
      </w:r>
      <w:r w:rsidRPr="004C6B3C">
        <w:rPr>
          <w:color w:val="000000"/>
          <w:sz w:val="18"/>
          <w:szCs w:val="18"/>
        </w:rPr>
        <w:t xml:space="preserve"> </w:t>
      </w:r>
    </w:p>
    <w:p w14:paraId="140EE896" w14:textId="4BDB91F4" w:rsidR="004C6B3C" w:rsidRPr="004C6B3C" w:rsidRDefault="004C6B3C" w:rsidP="004C6B3C">
      <w:pPr>
        <w:ind w:left="2160"/>
        <w:rPr>
          <w:color w:val="000000"/>
          <w:sz w:val="18"/>
          <w:szCs w:val="18"/>
        </w:rPr>
      </w:pPr>
      <w:r w:rsidRPr="004C6B3C">
        <w:rPr>
          <w:color w:val="000000"/>
          <w:sz w:val="18"/>
          <w:szCs w:val="18"/>
        </w:rPr>
        <w:t>[$3,500 less 20% good faith efforts].</w:t>
      </w:r>
    </w:p>
    <w:p w14:paraId="1AFD7E23" w14:textId="77777777" w:rsidR="004C6B3C" w:rsidRPr="004C6B3C" w:rsidRDefault="004C6B3C" w:rsidP="004C6B3C">
      <w:pPr>
        <w:ind w:left="2160"/>
        <w:rPr>
          <w:color w:val="000000"/>
          <w:sz w:val="18"/>
          <w:szCs w:val="18"/>
        </w:rPr>
      </w:pPr>
    </w:p>
    <w:p w14:paraId="09DCCEAC" w14:textId="77777777" w:rsidR="004C6B3C" w:rsidRPr="004C6B3C" w:rsidRDefault="004C6B3C" w:rsidP="004C6B3C">
      <w:pPr>
        <w:ind w:left="2160"/>
        <w:rPr>
          <w:color w:val="000000"/>
          <w:sz w:val="18"/>
          <w:szCs w:val="18"/>
        </w:rPr>
      </w:pPr>
      <w:r w:rsidRPr="004C6B3C">
        <w:rPr>
          <w:color w:val="000000"/>
          <w:sz w:val="18"/>
          <w:szCs w:val="18"/>
          <w:u w:val="single"/>
        </w:rPr>
        <w:t>Consent Order requirements</w:t>
      </w:r>
      <w:r w:rsidRPr="004C6B3C">
        <w:rPr>
          <w:color w:val="000000"/>
          <w:sz w:val="18"/>
          <w:szCs w:val="18"/>
        </w:rPr>
        <w:t>:</w:t>
      </w:r>
    </w:p>
    <w:p w14:paraId="76F15AAC" w14:textId="77777777" w:rsidR="004C6B3C" w:rsidRPr="004C6B3C" w:rsidRDefault="004C6B3C" w:rsidP="004C6B3C">
      <w:pPr>
        <w:ind w:left="2160"/>
        <w:rPr>
          <w:color w:val="000000"/>
          <w:sz w:val="18"/>
          <w:szCs w:val="18"/>
        </w:rPr>
      </w:pPr>
      <w:r w:rsidRPr="004C6B3C">
        <w:rPr>
          <w:color w:val="000000"/>
          <w:sz w:val="18"/>
          <w:szCs w:val="18"/>
        </w:rPr>
        <w:t>Payment only.</w:t>
      </w:r>
    </w:p>
    <w:p w14:paraId="5F8401A0" w14:textId="77777777" w:rsidR="003A289F" w:rsidRDefault="003A289F" w:rsidP="003A289F">
      <w:pPr>
        <w:ind w:left="90" w:firstLine="720"/>
        <w:rPr>
          <w:b/>
          <w:sz w:val="22"/>
          <w:u w:val="single"/>
        </w:rPr>
      </w:pPr>
    </w:p>
    <w:bookmarkEnd w:id="1"/>
    <w:p w14:paraId="070F0277" w14:textId="5EB45F63" w:rsidR="003A289F" w:rsidRDefault="003A289F" w:rsidP="003A289F">
      <w:pPr>
        <w:autoSpaceDE w:val="0"/>
        <w:autoSpaceDN w:val="0"/>
        <w:adjustRightInd w:val="0"/>
        <w:rPr>
          <w:rFonts w:ascii="Century Gothic" w:hAnsi="Century Gothic" w:cs="Century Gothic"/>
          <w:b/>
          <w:bCs/>
          <w:color w:val="000000"/>
          <w:sz w:val="22"/>
        </w:rPr>
      </w:pPr>
      <w:r w:rsidRPr="00054AFF">
        <w:rPr>
          <w:rFonts w:ascii="Century Gothic" w:eastAsiaTheme="majorEastAsia" w:hAnsi="Century Gothic" w:cstheme="majorBidi"/>
          <w:color w:val="365F91" w:themeColor="accent1" w:themeShade="BF"/>
          <w:sz w:val="22"/>
        </w:rPr>
        <w:t>V. ENFORCEMENT REPORT</w:t>
      </w:r>
      <w:r w:rsidRPr="00054AFF">
        <w:rPr>
          <w:rFonts w:ascii="Century Gothic" w:hAnsi="Century Gothic" w:cs="Century Gothic"/>
          <w:b/>
          <w:bCs/>
          <w:color w:val="000000"/>
          <w:sz w:val="22"/>
        </w:rPr>
        <w:t xml:space="preserve"> </w:t>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Pr>
          <w:rFonts w:ascii="Century Gothic" w:hAnsi="Century Gothic" w:cs="Century Gothic"/>
          <w:b/>
          <w:bCs/>
          <w:color w:val="000000"/>
          <w:sz w:val="22"/>
        </w:rPr>
        <w:t>MELISSA LONG</w:t>
      </w:r>
    </w:p>
    <w:p w14:paraId="65DE39A3" w14:textId="77777777" w:rsidR="003A289F" w:rsidRDefault="003A289F" w:rsidP="003A289F">
      <w:pPr>
        <w:spacing w:after="200" w:line="276" w:lineRule="auto"/>
        <w:ind w:left="720"/>
        <w:contextualSpacing/>
        <w:rPr>
          <w:rFonts w:ascii="Century Gothic" w:eastAsia="Times New Roman" w:hAnsi="Century Gothic" w:cs="Times New Roman"/>
          <w:sz w:val="22"/>
        </w:rPr>
      </w:pPr>
    </w:p>
    <w:p w14:paraId="19561B14" w14:textId="48BC40D1" w:rsidR="003A289F" w:rsidRDefault="003A289F" w:rsidP="003A289F">
      <w:pPr>
        <w:keepNext/>
        <w:keepLines/>
        <w:outlineLvl w:val="0"/>
        <w:rPr>
          <w:rFonts w:ascii="Century Gothic" w:eastAsiaTheme="majorEastAsia" w:hAnsi="Century Gothic" w:cstheme="majorBidi"/>
          <w:color w:val="365F91" w:themeColor="accent1" w:themeShade="BF"/>
          <w:sz w:val="22"/>
        </w:rPr>
      </w:pPr>
      <w:r w:rsidRPr="00054AFF">
        <w:rPr>
          <w:rFonts w:ascii="Century Gothic" w:eastAsiaTheme="majorEastAsia" w:hAnsi="Century Gothic" w:cstheme="majorBidi"/>
          <w:color w:val="365F91" w:themeColor="accent1" w:themeShade="BF"/>
          <w:sz w:val="22"/>
        </w:rPr>
        <w:t>V</w:t>
      </w:r>
      <w:r w:rsidR="00294584">
        <w:rPr>
          <w:rFonts w:ascii="Century Gothic" w:eastAsiaTheme="majorEastAsia" w:hAnsi="Century Gothic" w:cstheme="majorBidi"/>
          <w:color w:val="365F91" w:themeColor="accent1" w:themeShade="BF"/>
          <w:sz w:val="22"/>
        </w:rPr>
        <w:t>I</w:t>
      </w:r>
      <w:r w:rsidRPr="00054AFF">
        <w:rPr>
          <w:rFonts w:ascii="Century Gothic" w:eastAsiaTheme="majorEastAsia" w:hAnsi="Century Gothic" w:cstheme="majorBidi"/>
          <w:color w:val="365F91" w:themeColor="accent1" w:themeShade="BF"/>
          <w:sz w:val="22"/>
        </w:rPr>
        <w:t>. PRESENTATION(s)</w:t>
      </w:r>
    </w:p>
    <w:p w14:paraId="17598138" w14:textId="77777777" w:rsidR="003A289F" w:rsidRPr="00EF6F8F" w:rsidRDefault="003A289F" w:rsidP="003A289F">
      <w:pPr>
        <w:ind w:left="5760" w:firstLine="720"/>
        <w:rPr>
          <w:rFonts w:ascii="Century Gothic" w:hAnsi="Century Gothic"/>
          <w:b/>
          <w:bCs/>
          <w:sz w:val="18"/>
          <w:szCs w:val="18"/>
        </w:rPr>
      </w:pPr>
    </w:p>
    <w:p w14:paraId="5FBF0899" w14:textId="790F6252" w:rsidR="003A289F" w:rsidRDefault="003A289F" w:rsidP="003A289F">
      <w:pPr>
        <w:keepNext/>
        <w:keepLines/>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VI</w:t>
      </w:r>
      <w:r w:rsidR="00294584">
        <w:rPr>
          <w:rFonts w:ascii="Century Gothic" w:eastAsiaTheme="majorEastAsia" w:hAnsi="Century Gothic" w:cstheme="majorBidi"/>
          <w:color w:val="365F91" w:themeColor="accent1" w:themeShade="BF"/>
          <w:sz w:val="22"/>
        </w:rPr>
        <w:t>I</w:t>
      </w:r>
      <w:r w:rsidRPr="00054AFF">
        <w:rPr>
          <w:rFonts w:ascii="Century Gothic" w:eastAsiaTheme="majorEastAsia" w:hAnsi="Century Gothic" w:cstheme="majorBidi"/>
          <w:color w:val="365F91" w:themeColor="accent1" w:themeShade="BF"/>
          <w:sz w:val="22"/>
        </w:rPr>
        <w:t>. NEW BUSINESS</w:t>
      </w:r>
      <w:r>
        <w:rPr>
          <w:rFonts w:ascii="Century Gothic" w:eastAsiaTheme="majorEastAsia" w:hAnsi="Century Gothic" w:cstheme="majorBidi"/>
          <w:color w:val="365F91" w:themeColor="accent1" w:themeShade="BF"/>
          <w:sz w:val="22"/>
        </w:rPr>
        <w:tab/>
      </w:r>
      <w:r>
        <w:rPr>
          <w:rFonts w:ascii="Century Gothic" w:eastAsiaTheme="majorEastAsia" w:hAnsi="Century Gothic" w:cstheme="majorBidi"/>
          <w:color w:val="365F91" w:themeColor="accent1" w:themeShade="BF"/>
          <w:sz w:val="22"/>
        </w:rPr>
        <w:tab/>
      </w:r>
      <w:r>
        <w:rPr>
          <w:rFonts w:ascii="Century Gothic" w:eastAsiaTheme="majorEastAsia" w:hAnsi="Century Gothic" w:cstheme="majorBidi"/>
          <w:color w:val="365F91" w:themeColor="accent1" w:themeShade="BF"/>
          <w:sz w:val="22"/>
        </w:rPr>
        <w:tab/>
      </w:r>
      <w:r>
        <w:rPr>
          <w:rFonts w:ascii="Century Gothic" w:eastAsiaTheme="majorEastAsia" w:hAnsi="Century Gothic" w:cstheme="majorBidi"/>
          <w:color w:val="365F91" w:themeColor="accent1" w:themeShade="BF"/>
          <w:sz w:val="22"/>
        </w:rPr>
        <w:tab/>
      </w:r>
      <w:r>
        <w:rPr>
          <w:rFonts w:ascii="Century Gothic" w:eastAsiaTheme="majorEastAsia" w:hAnsi="Century Gothic" w:cstheme="majorBidi"/>
          <w:color w:val="365F91" w:themeColor="accent1" w:themeShade="BF"/>
          <w:sz w:val="22"/>
        </w:rPr>
        <w:tab/>
      </w:r>
      <w:r>
        <w:rPr>
          <w:rFonts w:ascii="Century Gothic" w:eastAsiaTheme="majorEastAsia" w:hAnsi="Century Gothic" w:cstheme="majorBidi"/>
          <w:color w:val="365F91" w:themeColor="accent1" w:themeShade="BF"/>
          <w:sz w:val="22"/>
        </w:rPr>
        <w:tab/>
      </w:r>
      <w:r>
        <w:rPr>
          <w:rFonts w:ascii="Century Gothic" w:eastAsiaTheme="majorEastAsia" w:hAnsi="Century Gothic" w:cstheme="majorBidi"/>
          <w:color w:val="365F91" w:themeColor="accent1" w:themeShade="BF"/>
          <w:sz w:val="22"/>
        </w:rPr>
        <w:tab/>
      </w:r>
    </w:p>
    <w:p w14:paraId="632350BB" w14:textId="77777777" w:rsidR="00C06AEF" w:rsidRPr="00C06AEF" w:rsidRDefault="00C06AEF" w:rsidP="00C06AEF">
      <w:pPr>
        <w:numPr>
          <w:ilvl w:val="0"/>
          <w:numId w:val="7"/>
        </w:numPr>
        <w:rPr>
          <w:rFonts w:ascii="Century Gothic" w:hAnsi="Century Gothic"/>
          <w:sz w:val="22"/>
        </w:rPr>
      </w:pPr>
      <w:r w:rsidRPr="00C06AEF">
        <w:rPr>
          <w:rFonts w:ascii="Century Gothic" w:hAnsi="Century Gothic"/>
          <w:sz w:val="22"/>
        </w:rPr>
        <w:t>Noise Variance Application – Summit Contracting Group</w:t>
      </w:r>
    </w:p>
    <w:p w14:paraId="5CDD068D" w14:textId="77777777" w:rsidR="00C06AEF" w:rsidRPr="00C06AEF" w:rsidRDefault="00C06AEF" w:rsidP="00C06AEF">
      <w:pPr>
        <w:numPr>
          <w:ilvl w:val="2"/>
          <w:numId w:val="7"/>
        </w:numPr>
        <w:ind w:left="1800"/>
        <w:rPr>
          <w:rFonts w:ascii="Century Gothic" w:hAnsi="Century Gothic"/>
          <w:sz w:val="22"/>
        </w:rPr>
      </w:pPr>
      <w:bookmarkStart w:id="4" w:name="_Hlk150512030"/>
      <w:r w:rsidRPr="00C06AEF">
        <w:rPr>
          <w:rFonts w:ascii="Century Gothic" w:hAnsi="Century Gothic"/>
          <w:sz w:val="22"/>
        </w:rPr>
        <w:t>Waive JEPB Rule 1.602(e)</w:t>
      </w:r>
    </w:p>
    <w:bookmarkEnd w:id="4"/>
    <w:p w14:paraId="45532CA3" w14:textId="77777777" w:rsidR="00C06AEF" w:rsidRPr="00C06AEF" w:rsidRDefault="00C06AEF" w:rsidP="00C06AEF">
      <w:pPr>
        <w:numPr>
          <w:ilvl w:val="1"/>
          <w:numId w:val="7"/>
        </w:numPr>
        <w:ind w:left="720"/>
        <w:rPr>
          <w:rFonts w:ascii="Century Gothic" w:hAnsi="Century Gothic"/>
          <w:sz w:val="22"/>
        </w:rPr>
      </w:pPr>
      <w:r w:rsidRPr="00C06AEF">
        <w:rPr>
          <w:rFonts w:ascii="Century Gothic" w:hAnsi="Century Gothic"/>
          <w:sz w:val="22"/>
        </w:rPr>
        <w:t>JEPB Committee Assignments</w:t>
      </w:r>
    </w:p>
    <w:p w14:paraId="28D8C58F" w14:textId="77777777" w:rsidR="003A289F" w:rsidRDefault="003A289F" w:rsidP="003A289F">
      <w:pPr>
        <w:ind w:left="810"/>
        <w:rPr>
          <w:rFonts w:ascii="Century Gothic" w:hAnsi="Century Gothic"/>
          <w:sz w:val="22"/>
        </w:rPr>
      </w:pPr>
    </w:p>
    <w:p w14:paraId="1F1FD2CC" w14:textId="5E3BE02B" w:rsidR="003A289F" w:rsidRDefault="003A289F" w:rsidP="003A289F">
      <w:pPr>
        <w:keepNext/>
        <w:keepLines/>
        <w:outlineLvl w:val="0"/>
        <w:rPr>
          <w:rFonts w:ascii="Century Gothic" w:eastAsiaTheme="majorEastAsia" w:hAnsi="Century Gothic" w:cstheme="majorBidi"/>
          <w:color w:val="365F91" w:themeColor="accent1" w:themeShade="BF"/>
          <w:sz w:val="22"/>
        </w:rPr>
      </w:pPr>
      <w:r w:rsidRPr="00054AFF">
        <w:rPr>
          <w:rFonts w:ascii="Century Gothic" w:eastAsiaTheme="majorEastAsia" w:hAnsi="Century Gothic" w:cstheme="majorBidi"/>
          <w:color w:val="365F91" w:themeColor="accent1" w:themeShade="BF"/>
          <w:sz w:val="22"/>
        </w:rPr>
        <w:t>V</w:t>
      </w:r>
      <w:r>
        <w:rPr>
          <w:rFonts w:ascii="Century Gothic" w:eastAsiaTheme="majorEastAsia" w:hAnsi="Century Gothic" w:cstheme="majorBidi"/>
          <w:color w:val="365F91" w:themeColor="accent1" w:themeShade="BF"/>
          <w:sz w:val="22"/>
        </w:rPr>
        <w:t>II</w:t>
      </w:r>
      <w:r w:rsidR="00294584">
        <w:rPr>
          <w:rFonts w:ascii="Century Gothic" w:eastAsiaTheme="majorEastAsia" w:hAnsi="Century Gothic" w:cstheme="majorBidi"/>
          <w:color w:val="365F91" w:themeColor="accent1" w:themeShade="BF"/>
          <w:sz w:val="22"/>
        </w:rPr>
        <w:t>I</w:t>
      </w:r>
      <w:r>
        <w:rPr>
          <w:rFonts w:ascii="Century Gothic" w:eastAsiaTheme="majorEastAsia" w:hAnsi="Century Gothic" w:cstheme="majorBidi"/>
          <w:color w:val="365F91" w:themeColor="accent1" w:themeShade="BF"/>
          <w:sz w:val="22"/>
        </w:rPr>
        <w:t xml:space="preserve">. </w:t>
      </w:r>
      <w:r w:rsidRPr="00054AFF">
        <w:rPr>
          <w:rFonts w:ascii="Century Gothic" w:eastAsiaTheme="majorEastAsia" w:hAnsi="Century Gothic" w:cstheme="majorBidi"/>
          <w:color w:val="365F91" w:themeColor="accent1" w:themeShade="BF"/>
          <w:sz w:val="22"/>
        </w:rPr>
        <w:t xml:space="preserve">PUBLIC HEARING(s) </w:t>
      </w:r>
    </w:p>
    <w:p w14:paraId="22E69967" w14:textId="77777777" w:rsidR="003A289F" w:rsidRPr="00EF6F8F" w:rsidRDefault="003A289F" w:rsidP="003A289F">
      <w:pPr>
        <w:numPr>
          <w:ilvl w:val="1"/>
          <w:numId w:val="6"/>
        </w:numPr>
        <w:ind w:left="720"/>
        <w:rPr>
          <w:rFonts w:ascii="Century Gothic" w:hAnsi="Century Gothic"/>
          <w:sz w:val="22"/>
        </w:rPr>
      </w:pPr>
      <w:r w:rsidRPr="00EF6F8F">
        <w:rPr>
          <w:rFonts w:ascii="Century Gothic" w:hAnsi="Century Gothic"/>
          <w:sz w:val="22"/>
        </w:rPr>
        <w:t>None</w:t>
      </w:r>
    </w:p>
    <w:p w14:paraId="0397CE3A" w14:textId="77777777" w:rsidR="003A289F" w:rsidRDefault="003A289F" w:rsidP="003A289F">
      <w:pPr>
        <w:pStyle w:val="ListParagraph"/>
        <w:autoSpaceDE w:val="0"/>
        <w:autoSpaceDN w:val="0"/>
        <w:adjustRightInd w:val="0"/>
        <w:ind w:left="360"/>
        <w:rPr>
          <w:rFonts w:ascii="Century Gothic" w:hAnsi="Century Gothic" w:cs="Century Gothic"/>
          <w:bCs/>
          <w:color w:val="000000"/>
          <w:sz w:val="22"/>
        </w:rPr>
      </w:pPr>
    </w:p>
    <w:p w14:paraId="71CF3752" w14:textId="5EBE642C" w:rsidR="003A289F" w:rsidRPr="00054AFF" w:rsidRDefault="00294584" w:rsidP="003A289F">
      <w:pPr>
        <w:keepNext/>
        <w:keepLines/>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IX</w:t>
      </w:r>
      <w:r w:rsidR="003A289F" w:rsidRPr="00054AFF">
        <w:rPr>
          <w:rFonts w:ascii="Century Gothic" w:eastAsiaTheme="majorEastAsia" w:hAnsi="Century Gothic" w:cstheme="majorBidi"/>
          <w:color w:val="365F91" w:themeColor="accent1" w:themeShade="BF"/>
          <w:sz w:val="22"/>
        </w:rPr>
        <w:t xml:space="preserve">. OLD BUSINESS </w:t>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r w:rsidR="003A289F" w:rsidRPr="00054AFF">
        <w:rPr>
          <w:rFonts w:ascii="Century Gothic" w:eastAsiaTheme="majorEastAsia" w:hAnsi="Century Gothic" w:cstheme="majorBidi"/>
          <w:color w:val="365F91" w:themeColor="accent1" w:themeShade="BF"/>
          <w:sz w:val="22"/>
        </w:rPr>
        <w:tab/>
      </w:r>
    </w:p>
    <w:p w14:paraId="358A4418" w14:textId="77777777" w:rsidR="003A289F" w:rsidRPr="00EF6F8F" w:rsidRDefault="003A289F" w:rsidP="003A289F">
      <w:pPr>
        <w:numPr>
          <w:ilvl w:val="1"/>
          <w:numId w:val="6"/>
        </w:numPr>
        <w:ind w:left="720"/>
        <w:rPr>
          <w:rFonts w:ascii="Century Gothic" w:hAnsi="Century Gothic"/>
          <w:sz w:val="22"/>
        </w:rPr>
      </w:pPr>
      <w:r w:rsidRPr="00EF6F8F">
        <w:rPr>
          <w:rFonts w:ascii="Century Gothic" w:hAnsi="Century Gothic"/>
          <w:sz w:val="22"/>
        </w:rPr>
        <w:t>Retreat</w:t>
      </w:r>
      <w:r>
        <w:rPr>
          <w:rFonts w:ascii="Century Gothic" w:hAnsi="Century Gothic"/>
          <w:sz w:val="22"/>
        </w:rPr>
        <w:t xml:space="preserve"> </w:t>
      </w:r>
    </w:p>
    <w:p w14:paraId="14631793" w14:textId="77777777" w:rsidR="003A289F" w:rsidRPr="00EF6F8F" w:rsidRDefault="003A289F" w:rsidP="003A289F">
      <w:pPr>
        <w:numPr>
          <w:ilvl w:val="1"/>
          <w:numId w:val="6"/>
        </w:numPr>
        <w:ind w:left="720"/>
        <w:rPr>
          <w:rFonts w:ascii="Century Gothic" w:hAnsi="Century Gothic"/>
          <w:sz w:val="22"/>
        </w:rPr>
      </w:pPr>
      <w:r w:rsidRPr="00EF6F8F">
        <w:rPr>
          <w:rFonts w:ascii="Century Gothic" w:hAnsi="Century Gothic"/>
          <w:sz w:val="22"/>
        </w:rPr>
        <w:t xml:space="preserve">Education &amp; Public Outreach </w:t>
      </w:r>
    </w:p>
    <w:p w14:paraId="388C277D" w14:textId="77777777" w:rsidR="003A289F" w:rsidRDefault="003A289F" w:rsidP="003A289F">
      <w:pPr>
        <w:ind w:left="1080"/>
      </w:pPr>
    </w:p>
    <w:p w14:paraId="73D3AC04" w14:textId="261AC95B" w:rsidR="003A289F" w:rsidRPr="00054AFF" w:rsidRDefault="00F53364" w:rsidP="003A289F">
      <w:pPr>
        <w:keepNext/>
        <w:keepLines/>
        <w:outlineLvl w:val="0"/>
        <w:rPr>
          <w:rFonts w:ascii="Century Gothic" w:eastAsiaTheme="majorEastAsia" w:hAnsi="Century Gothic" w:cstheme="majorBidi"/>
          <w:color w:val="365F91" w:themeColor="accent1" w:themeShade="BF"/>
          <w:sz w:val="22"/>
        </w:rPr>
      </w:pPr>
      <w:r>
        <w:rPr>
          <w:rFonts w:ascii="Century Gothic" w:eastAsiaTheme="majorEastAsia" w:hAnsi="Century Gothic" w:cstheme="majorBidi"/>
          <w:color w:val="365F91" w:themeColor="accent1" w:themeShade="BF"/>
          <w:sz w:val="22"/>
        </w:rPr>
        <w:t>X</w:t>
      </w:r>
      <w:r w:rsidR="003A289F" w:rsidRPr="00054AFF">
        <w:rPr>
          <w:rFonts w:ascii="Century Gothic" w:eastAsiaTheme="majorEastAsia" w:hAnsi="Century Gothic" w:cstheme="majorBidi"/>
          <w:color w:val="365F91" w:themeColor="accent1" w:themeShade="BF"/>
          <w:sz w:val="22"/>
        </w:rPr>
        <w:t>. COMMISSION &amp; JEPB COMMITTEE UPDATES &amp; REPORTS</w:t>
      </w:r>
    </w:p>
    <w:p w14:paraId="1A7B0BD8" w14:textId="77777777" w:rsidR="003A289F" w:rsidRPr="00F000B0" w:rsidRDefault="003A289F" w:rsidP="003A289F">
      <w:pPr>
        <w:numPr>
          <w:ilvl w:val="0"/>
          <w:numId w:val="3"/>
        </w:numPr>
        <w:autoSpaceDE w:val="0"/>
        <w:autoSpaceDN w:val="0"/>
        <w:adjustRightInd w:val="0"/>
        <w:spacing w:after="200" w:line="276" w:lineRule="auto"/>
        <w:ind w:left="1170"/>
        <w:contextualSpacing/>
        <w:rPr>
          <w:rFonts w:ascii="Century Gothic" w:hAnsi="Century Gothic" w:cs="Century Gothic"/>
          <w:color w:val="000000"/>
          <w:sz w:val="18"/>
          <w:szCs w:val="18"/>
        </w:rPr>
      </w:pPr>
      <w:r w:rsidRPr="00F000B0">
        <w:rPr>
          <w:rFonts w:ascii="Century Gothic" w:hAnsi="Century Gothic" w:cs="Century Gothic"/>
          <w:color w:val="000000"/>
          <w:sz w:val="18"/>
          <w:szCs w:val="18"/>
        </w:rPr>
        <w:t xml:space="preserve">Waterways Commission </w:t>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b/>
          <w:color w:val="000000"/>
          <w:sz w:val="18"/>
          <w:szCs w:val="18"/>
        </w:rPr>
        <w:t>ADAM HOYLES</w:t>
      </w:r>
    </w:p>
    <w:p w14:paraId="7D8210A4" w14:textId="77777777" w:rsidR="003A289F" w:rsidRPr="00F000B0" w:rsidRDefault="003A289F" w:rsidP="003A289F">
      <w:pPr>
        <w:numPr>
          <w:ilvl w:val="0"/>
          <w:numId w:val="3"/>
        </w:numPr>
        <w:autoSpaceDE w:val="0"/>
        <w:autoSpaceDN w:val="0"/>
        <w:adjustRightInd w:val="0"/>
        <w:spacing w:after="200" w:line="276" w:lineRule="auto"/>
        <w:ind w:left="1170"/>
        <w:contextualSpacing/>
        <w:rPr>
          <w:rFonts w:ascii="Century Gothic" w:hAnsi="Century Gothic" w:cs="Century Gothic"/>
          <w:color w:val="000000"/>
          <w:sz w:val="18"/>
          <w:szCs w:val="18"/>
        </w:rPr>
      </w:pPr>
      <w:r w:rsidRPr="00F000B0">
        <w:rPr>
          <w:rFonts w:ascii="Century Gothic" w:hAnsi="Century Gothic" w:cs="Century Gothic"/>
          <w:color w:val="000000"/>
          <w:sz w:val="18"/>
          <w:szCs w:val="18"/>
        </w:rPr>
        <w:t>KJB Commission</w:t>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b/>
          <w:color w:val="000000"/>
          <w:sz w:val="18"/>
          <w:szCs w:val="18"/>
        </w:rPr>
        <w:t>DAN DURBEC</w:t>
      </w:r>
    </w:p>
    <w:p w14:paraId="01C5661B" w14:textId="77777777" w:rsidR="003A289F" w:rsidRPr="00F000B0" w:rsidRDefault="003A289F" w:rsidP="003A289F">
      <w:pPr>
        <w:numPr>
          <w:ilvl w:val="0"/>
          <w:numId w:val="3"/>
        </w:numPr>
        <w:autoSpaceDE w:val="0"/>
        <w:autoSpaceDN w:val="0"/>
        <w:adjustRightInd w:val="0"/>
        <w:spacing w:after="200" w:line="276" w:lineRule="auto"/>
        <w:ind w:left="1170"/>
        <w:contextualSpacing/>
        <w:rPr>
          <w:rFonts w:ascii="Century Gothic" w:hAnsi="Century Gothic" w:cs="Century Gothic"/>
          <w:color w:val="000000"/>
          <w:sz w:val="18"/>
          <w:szCs w:val="18"/>
        </w:rPr>
      </w:pPr>
      <w:r w:rsidRPr="00F000B0">
        <w:rPr>
          <w:rFonts w:ascii="Century Gothic" w:hAnsi="Century Gothic" w:cs="Century Gothic"/>
          <w:color w:val="000000"/>
          <w:sz w:val="18"/>
          <w:szCs w:val="18"/>
        </w:rPr>
        <w:t xml:space="preserve">JEPB Water Committee </w:t>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b/>
          <w:color w:val="000000"/>
          <w:sz w:val="18"/>
          <w:szCs w:val="18"/>
        </w:rPr>
        <w:t>TERRY CARR</w:t>
      </w:r>
    </w:p>
    <w:p w14:paraId="0CEADD79" w14:textId="77777777" w:rsidR="003A289F" w:rsidRPr="00F000B0" w:rsidRDefault="003A289F" w:rsidP="003A289F">
      <w:pPr>
        <w:numPr>
          <w:ilvl w:val="0"/>
          <w:numId w:val="3"/>
        </w:numPr>
        <w:autoSpaceDE w:val="0"/>
        <w:autoSpaceDN w:val="0"/>
        <w:adjustRightInd w:val="0"/>
        <w:spacing w:after="200" w:line="276" w:lineRule="auto"/>
        <w:ind w:left="1170"/>
        <w:contextualSpacing/>
        <w:rPr>
          <w:rFonts w:ascii="Century Gothic" w:hAnsi="Century Gothic" w:cs="Century Gothic"/>
          <w:color w:val="000000"/>
          <w:sz w:val="18"/>
          <w:szCs w:val="18"/>
        </w:rPr>
      </w:pPr>
      <w:r w:rsidRPr="00F000B0">
        <w:rPr>
          <w:rFonts w:ascii="Century Gothic" w:hAnsi="Century Gothic" w:cs="Century Gothic"/>
          <w:color w:val="000000"/>
          <w:sz w:val="18"/>
          <w:szCs w:val="18"/>
        </w:rPr>
        <w:t xml:space="preserve">JEPB Air Committee </w:t>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color w:val="000000"/>
          <w:sz w:val="18"/>
          <w:szCs w:val="18"/>
        </w:rPr>
        <w:tab/>
      </w:r>
      <w:r w:rsidRPr="00F000B0">
        <w:rPr>
          <w:rFonts w:ascii="Century Gothic" w:hAnsi="Century Gothic" w:cs="Century Gothic"/>
          <w:b/>
          <w:color w:val="000000"/>
          <w:sz w:val="18"/>
          <w:szCs w:val="18"/>
        </w:rPr>
        <w:t>MICHAEL WILLIAMS</w:t>
      </w:r>
    </w:p>
    <w:p w14:paraId="293F1F43" w14:textId="77777777" w:rsidR="003A289F" w:rsidRDefault="003A289F" w:rsidP="003A289F">
      <w:pPr>
        <w:autoSpaceDE w:val="0"/>
        <w:autoSpaceDN w:val="0"/>
        <w:adjustRightInd w:val="0"/>
        <w:spacing w:after="200" w:line="276" w:lineRule="auto"/>
        <w:ind w:left="1170"/>
        <w:contextualSpacing/>
        <w:rPr>
          <w:rFonts w:ascii="Century Gothic" w:hAnsi="Century Gothic" w:cs="Century Gothic"/>
          <w:color w:val="000000"/>
          <w:sz w:val="18"/>
          <w:szCs w:val="18"/>
        </w:rPr>
      </w:pPr>
    </w:p>
    <w:p w14:paraId="759F0F90" w14:textId="6CAB626D" w:rsidR="003A289F" w:rsidRDefault="003A289F" w:rsidP="003A289F">
      <w:pPr>
        <w:autoSpaceDE w:val="0"/>
        <w:autoSpaceDN w:val="0"/>
        <w:adjustRightInd w:val="0"/>
        <w:rPr>
          <w:rFonts w:ascii="Century Gothic" w:hAnsi="Century Gothic" w:cs="Century Gothic"/>
          <w:b/>
          <w:bCs/>
          <w:color w:val="000000"/>
          <w:sz w:val="22"/>
        </w:rPr>
      </w:pPr>
      <w:r w:rsidRPr="00054AFF">
        <w:rPr>
          <w:rFonts w:ascii="Century Gothic" w:eastAsiaTheme="majorEastAsia" w:hAnsi="Century Gothic" w:cstheme="majorBidi"/>
          <w:color w:val="365F91" w:themeColor="accent1" w:themeShade="BF"/>
          <w:sz w:val="22"/>
        </w:rPr>
        <w:t>X</w:t>
      </w:r>
      <w:r w:rsidR="00F53364">
        <w:rPr>
          <w:rFonts w:ascii="Century Gothic" w:eastAsiaTheme="majorEastAsia" w:hAnsi="Century Gothic" w:cstheme="majorBidi"/>
          <w:color w:val="365F91" w:themeColor="accent1" w:themeShade="BF"/>
          <w:sz w:val="22"/>
        </w:rPr>
        <w:t>I</w:t>
      </w:r>
      <w:r w:rsidRPr="00054AFF">
        <w:rPr>
          <w:rFonts w:ascii="Century Gothic" w:eastAsiaTheme="majorEastAsia" w:hAnsi="Century Gothic" w:cstheme="majorBidi"/>
          <w:color w:val="365F91" w:themeColor="accent1" w:themeShade="BF"/>
          <w:sz w:val="22"/>
        </w:rPr>
        <w:t xml:space="preserve">.   </w:t>
      </w:r>
      <w:r w:rsidRPr="00172B7C">
        <w:rPr>
          <w:rFonts w:ascii="Century Gothic" w:eastAsiaTheme="majorEastAsia" w:hAnsi="Century Gothic" w:cstheme="majorBidi"/>
          <w:color w:val="4F81BD" w:themeColor="accent1"/>
          <w:sz w:val="22"/>
        </w:rPr>
        <w:t>EPB ADMINISTRATOR REPORT</w:t>
      </w:r>
      <w:r>
        <w:rPr>
          <w:rFonts w:ascii="Century Gothic" w:eastAsiaTheme="majorEastAsia" w:hAnsi="Century Gothic" w:cstheme="majorBidi"/>
          <w:sz w:val="22"/>
        </w:rPr>
        <w:tab/>
      </w:r>
      <w:r>
        <w:rPr>
          <w:rFonts w:ascii="Century Gothic" w:eastAsiaTheme="majorEastAsia" w:hAnsi="Century Gothic" w:cstheme="majorBidi"/>
          <w:sz w:val="22"/>
        </w:rPr>
        <w:tab/>
      </w:r>
      <w:r>
        <w:rPr>
          <w:rFonts w:ascii="Century Gothic" w:eastAsiaTheme="majorEastAsia" w:hAnsi="Century Gothic" w:cstheme="majorBidi"/>
          <w:sz w:val="22"/>
        </w:rPr>
        <w:tab/>
      </w:r>
      <w:r w:rsidRPr="00054AFF">
        <w:rPr>
          <w:rFonts w:ascii="Century Gothic" w:hAnsi="Century Gothic" w:cs="Century Gothic"/>
          <w:b/>
          <w:bCs/>
          <w:color w:val="000000"/>
          <w:sz w:val="22"/>
        </w:rPr>
        <w:tab/>
      </w:r>
      <w:r>
        <w:rPr>
          <w:rFonts w:ascii="Century Gothic" w:hAnsi="Century Gothic" w:cs="Century Gothic"/>
          <w:b/>
          <w:bCs/>
          <w:color w:val="000000"/>
          <w:sz w:val="22"/>
        </w:rPr>
        <w:tab/>
      </w:r>
      <w:r w:rsidRPr="00054AFF">
        <w:rPr>
          <w:rFonts w:ascii="Century Gothic" w:hAnsi="Century Gothic" w:cs="Century Gothic"/>
          <w:b/>
          <w:bCs/>
          <w:color w:val="000000"/>
          <w:sz w:val="22"/>
        </w:rPr>
        <w:t>JAMES RICHARDSON</w:t>
      </w:r>
    </w:p>
    <w:p w14:paraId="72250E25" w14:textId="77777777" w:rsidR="003A289F" w:rsidRPr="00054AFF" w:rsidRDefault="003A289F" w:rsidP="003A289F">
      <w:pPr>
        <w:autoSpaceDE w:val="0"/>
        <w:autoSpaceDN w:val="0"/>
        <w:adjustRightInd w:val="0"/>
        <w:rPr>
          <w:rFonts w:ascii="Century Gothic" w:hAnsi="Century Gothic" w:cs="Century Gothic"/>
          <w:b/>
          <w:bCs/>
          <w:color w:val="000000"/>
          <w:sz w:val="22"/>
        </w:rPr>
      </w:pPr>
    </w:p>
    <w:p w14:paraId="129C8938" w14:textId="05EBDC8C" w:rsidR="003A289F" w:rsidRPr="00054AFF" w:rsidRDefault="003A289F" w:rsidP="003A289F">
      <w:pPr>
        <w:autoSpaceDE w:val="0"/>
        <w:autoSpaceDN w:val="0"/>
        <w:adjustRightInd w:val="0"/>
        <w:rPr>
          <w:rFonts w:ascii="Century Gothic" w:hAnsi="Century Gothic" w:cs="Century Gothic"/>
          <w:b/>
          <w:bCs/>
          <w:color w:val="000000"/>
          <w:sz w:val="22"/>
        </w:rPr>
      </w:pPr>
      <w:r w:rsidRPr="00054AFF">
        <w:rPr>
          <w:rFonts w:ascii="Century Gothic" w:eastAsiaTheme="majorEastAsia" w:hAnsi="Century Gothic" w:cstheme="majorBidi"/>
          <w:color w:val="365F91" w:themeColor="accent1" w:themeShade="BF"/>
          <w:sz w:val="22"/>
        </w:rPr>
        <w:t>X</w:t>
      </w:r>
      <w:r>
        <w:rPr>
          <w:rFonts w:ascii="Century Gothic" w:eastAsiaTheme="majorEastAsia" w:hAnsi="Century Gothic" w:cstheme="majorBidi"/>
          <w:color w:val="365F91" w:themeColor="accent1" w:themeShade="BF"/>
          <w:sz w:val="22"/>
        </w:rPr>
        <w:t>I</w:t>
      </w:r>
      <w:r w:rsidR="00F53364">
        <w:rPr>
          <w:rFonts w:ascii="Century Gothic" w:eastAsiaTheme="majorEastAsia" w:hAnsi="Century Gothic" w:cstheme="majorBidi"/>
          <w:color w:val="365F91" w:themeColor="accent1" w:themeShade="BF"/>
          <w:sz w:val="22"/>
        </w:rPr>
        <w:t>I</w:t>
      </w:r>
      <w:r>
        <w:rPr>
          <w:rFonts w:ascii="Century Gothic" w:eastAsiaTheme="majorEastAsia" w:hAnsi="Century Gothic" w:cstheme="majorBidi"/>
          <w:color w:val="365F91" w:themeColor="accent1" w:themeShade="BF"/>
          <w:sz w:val="22"/>
        </w:rPr>
        <w:t xml:space="preserve">. </w:t>
      </w:r>
      <w:r w:rsidRPr="00054AFF">
        <w:rPr>
          <w:rFonts w:ascii="Century Gothic" w:eastAsiaTheme="majorEastAsia" w:hAnsi="Century Gothic" w:cstheme="majorBidi"/>
          <w:color w:val="365F91" w:themeColor="accent1" w:themeShade="BF"/>
          <w:sz w:val="22"/>
        </w:rPr>
        <w:t>ENVIRONMENTAL QUALITY DIVISION REPORT</w:t>
      </w:r>
      <w:r w:rsidRPr="00054AFF">
        <w:rPr>
          <w:rFonts w:ascii="Century Gothic" w:hAnsi="Century Gothic" w:cs="Century Gothic"/>
          <w:b/>
          <w:bCs/>
          <w:color w:val="000000"/>
          <w:sz w:val="22"/>
        </w:rPr>
        <w:t xml:space="preserve"> </w:t>
      </w:r>
      <w:r w:rsidRPr="00054AFF">
        <w:rPr>
          <w:rFonts w:ascii="Century Gothic" w:hAnsi="Century Gothic" w:cs="Century Gothic"/>
          <w:b/>
          <w:bCs/>
          <w:color w:val="000000"/>
          <w:sz w:val="22"/>
        </w:rPr>
        <w:tab/>
      </w:r>
      <w:r w:rsidRPr="00054AFF">
        <w:rPr>
          <w:rFonts w:ascii="Century Gothic" w:hAnsi="Century Gothic" w:cs="Century Gothic"/>
          <w:b/>
          <w:bCs/>
          <w:color w:val="000000"/>
          <w:sz w:val="22"/>
        </w:rPr>
        <w:tab/>
      </w:r>
      <w:r>
        <w:rPr>
          <w:rFonts w:ascii="Century Gothic" w:hAnsi="Century Gothic" w:cs="Century Gothic"/>
          <w:b/>
          <w:bCs/>
          <w:color w:val="000000"/>
          <w:sz w:val="22"/>
        </w:rPr>
        <w:tab/>
      </w:r>
      <w:r w:rsidRPr="00054AFF">
        <w:rPr>
          <w:rFonts w:ascii="Century Gothic" w:hAnsi="Century Gothic" w:cs="Century Gothic"/>
          <w:b/>
          <w:bCs/>
          <w:color w:val="000000"/>
          <w:sz w:val="22"/>
        </w:rPr>
        <w:t>MELISSA LONG</w:t>
      </w:r>
    </w:p>
    <w:p w14:paraId="1A48F2DA" w14:textId="77777777" w:rsidR="003A289F" w:rsidRDefault="003A289F" w:rsidP="003A289F">
      <w:pPr>
        <w:keepNext/>
        <w:keepLines/>
        <w:outlineLvl w:val="0"/>
        <w:rPr>
          <w:rFonts w:ascii="Century Gothic" w:eastAsiaTheme="majorEastAsia" w:hAnsi="Century Gothic" w:cstheme="majorBidi"/>
          <w:color w:val="365F91" w:themeColor="accent1" w:themeShade="BF"/>
          <w:sz w:val="22"/>
        </w:rPr>
      </w:pPr>
    </w:p>
    <w:p w14:paraId="68D7B763" w14:textId="77777777" w:rsidR="003A289F" w:rsidRPr="00054AFF" w:rsidRDefault="003A289F" w:rsidP="003A289F">
      <w:pPr>
        <w:keepNext/>
        <w:keepLines/>
        <w:outlineLvl w:val="0"/>
        <w:rPr>
          <w:rFonts w:ascii="Century Gothic" w:eastAsiaTheme="majorEastAsia" w:hAnsi="Century Gothic" w:cstheme="majorBidi"/>
          <w:color w:val="365F91" w:themeColor="accent1" w:themeShade="BF"/>
          <w:sz w:val="22"/>
        </w:rPr>
      </w:pPr>
      <w:r w:rsidRPr="00054AFF">
        <w:rPr>
          <w:rFonts w:ascii="Century Gothic" w:eastAsiaTheme="majorEastAsia" w:hAnsi="Century Gothic" w:cstheme="majorBidi"/>
          <w:color w:val="365F91" w:themeColor="accent1" w:themeShade="BF"/>
          <w:sz w:val="22"/>
        </w:rPr>
        <w:t>XI</w:t>
      </w:r>
      <w:r>
        <w:rPr>
          <w:rFonts w:ascii="Century Gothic" w:eastAsiaTheme="majorEastAsia" w:hAnsi="Century Gothic" w:cstheme="majorBidi"/>
          <w:color w:val="365F91" w:themeColor="accent1" w:themeShade="BF"/>
          <w:sz w:val="22"/>
        </w:rPr>
        <w:t>II</w:t>
      </w:r>
      <w:r w:rsidRPr="00054AFF">
        <w:rPr>
          <w:rFonts w:ascii="Century Gothic" w:eastAsiaTheme="majorEastAsia" w:hAnsi="Century Gothic" w:cstheme="majorBidi"/>
          <w:color w:val="365F91" w:themeColor="accent1" w:themeShade="BF"/>
          <w:sz w:val="22"/>
        </w:rPr>
        <w:t>. ITEMS REFERRED TO COMMITTEES</w:t>
      </w:r>
    </w:p>
    <w:p w14:paraId="36A34A80" w14:textId="77777777" w:rsidR="003A289F" w:rsidRDefault="003A289F" w:rsidP="003A289F">
      <w:pPr>
        <w:autoSpaceDE w:val="0"/>
        <w:autoSpaceDN w:val="0"/>
        <w:adjustRightInd w:val="0"/>
        <w:rPr>
          <w:rFonts w:ascii="Century Gothic" w:hAnsi="Century Gothic" w:cs="Century Gothic"/>
          <w:b/>
          <w:bCs/>
          <w:sz w:val="22"/>
        </w:rPr>
      </w:pPr>
    </w:p>
    <w:p w14:paraId="316DDBCE" w14:textId="77777777" w:rsidR="003A289F" w:rsidRPr="00054AFF" w:rsidRDefault="003A289F" w:rsidP="003A289F">
      <w:pPr>
        <w:keepNext/>
        <w:keepLines/>
        <w:outlineLvl w:val="0"/>
        <w:rPr>
          <w:rFonts w:ascii="Century Gothic" w:eastAsiaTheme="majorEastAsia" w:hAnsi="Century Gothic" w:cstheme="majorBidi"/>
          <w:color w:val="365F91" w:themeColor="accent1" w:themeShade="BF"/>
          <w:sz w:val="22"/>
        </w:rPr>
      </w:pPr>
      <w:r w:rsidRPr="00054AFF">
        <w:rPr>
          <w:rFonts w:ascii="Century Gothic" w:eastAsiaTheme="majorEastAsia" w:hAnsi="Century Gothic" w:cstheme="majorBidi"/>
          <w:color w:val="365F91" w:themeColor="accent1" w:themeShade="BF"/>
          <w:sz w:val="22"/>
        </w:rPr>
        <w:t>X</w:t>
      </w:r>
      <w:r>
        <w:rPr>
          <w:rFonts w:ascii="Century Gothic" w:eastAsiaTheme="majorEastAsia" w:hAnsi="Century Gothic" w:cstheme="majorBidi"/>
          <w:color w:val="365F91" w:themeColor="accent1" w:themeShade="BF"/>
          <w:sz w:val="22"/>
        </w:rPr>
        <w:t>I</w:t>
      </w:r>
      <w:r w:rsidRPr="00054AFF">
        <w:rPr>
          <w:rFonts w:ascii="Century Gothic" w:eastAsiaTheme="majorEastAsia" w:hAnsi="Century Gothic" w:cstheme="majorBidi"/>
          <w:color w:val="365F91" w:themeColor="accent1" w:themeShade="BF"/>
          <w:sz w:val="22"/>
        </w:rPr>
        <w:t xml:space="preserve">V. NEXT SCHEDULED BOARD MEETING(s) </w:t>
      </w:r>
    </w:p>
    <w:p w14:paraId="5E96365D" w14:textId="4E2F837A" w:rsidR="003A289F" w:rsidRPr="00BD22ED" w:rsidRDefault="003A289F" w:rsidP="003A289F">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sidRPr="00BD22ED">
        <w:rPr>
          <w:rFonts w:ascii="Century Gothic" w:hAnsi="Century Gothic" w:cs="Century Gothic"/>
          <w:sz w:val="22"/>
        </w:rPr>
        <w:t xml:space="preserve">JEPB Steering Committee – </w:t>
      </w:r>
      <w:r w:rsidR="00C06AEF">
        <w:rPr>
          <w:rFonts w:ascii="Century Gothic" w:hAnsi="Century Gothic" w:cs="Century Gothic"/>
          <w:sz w:val="22"/>
        </w:rPr>
        <w:t>December 4</w:t>
      </w:r>
      <w:r>
        <w:rPr>
          <w:rFonts w:ascii="Century Gothic" w:hAnsi="Century Gothic" w:cs="Century Gothic"/>
          <w:sz w:val="22"/>
        </w:rPr>
        <w:t>, 2023</w:t>
      </w:r>
      <w:r w:rsidRPr="00BD22ED">
        <w:rPr>
          <w:rFonts w:ascii="Century Gothic" w:hAnsi="Century Gothic" w:cs="Century Gothic"/>
          <w:sz w:val="22"/>
        </w:rPr>
        <w:t>, at 4:00 pm</w:t>
      </w:r>
    </w:p>
    <w:p w14:paraId="43B08765" w14:textId="478437A5" w:rsidR="003A289F" w:rsidRPr="00F53364" w:rsidRDefault="003A289F" w:rsidP="003A289F">
      <w:pPr>
        <w:numPr>
          <w:ilvl w:val="0"/>
          <w:numId w:val="4"/>
        </w:numPr>
        <w:autoSpaceDE w:val="0"/>
        <w:autoSpaceDN w:val="0"/>
        <w:adjustRightInd w:val="0"/>
        <w:spacing w:after="200" w:line="276" w:lineRule="auto"/>
        <w:ind w:left="1080"/>
        <w:contextualSpacing/>
        <w:rPr>
          <w:rFonts w:ascii="Century Gothic" w:hAnsi="Century Gothic" w:cs="Century Gothic"/>
          <w:sz w:val="22"/>
        </w:rPr>
      </w:pPr>
      <w:r w:rsidRPr="00F53364">
        <w:rPr>
          <w:rFonts w:ascii="Century Gothic" w:hAnsi="Century Gothic" w:cs="Century Gothic"/>
          <w:sz w:val="22"/>
        </w:rPr>
        <w:t xml:space="preserve">JEPB Monthly Meeting – Monday, </w:t>
      </w:r>
      <w:r w:rsidR="004D7E3E">
        <w:rPr>
          <w:rFonts w:ascii="Century Gothic" w:hAnsi="Century Gothic" w:cs="Century Gothic"/>
          <w:sz w:val="22"/>
        </w:rPr>
        <w:t>December 11</w:t>
      </w:r>
      <w:r w:rsidRPr="00F53364">
        <w:rPr>
          <w:rFonts w:ascii="Century Gothic" w:hAnsi="Century Gothic" w:cs="Century Gothic"/>
          <w:sz w:val="22"/>
        </w:rPr>
        <w:t>, 2023, at 5:00 pm</w:t>
      </w:r>
    </w:p>
    <w:p w14:paraId="6646FFF6" w14:textId="77777777" w:rsidR="003A289F" w:rsidRDefault="003A289F" w:rsidP="003A289F">
      <w:pPr>
        <w:autoSpaceDE w:val="0"/>
        <w:autoSpaceDN w:val="0"/>
        <w:adjustRightInd w:val="0"/>
        <w:spacing w:after="200" w:line="276" w:lineRule="auto"/>
        <w:ind w:left="1080"/>
        <w:contextualSpacing/>
        <w:rPr>
          <w:rFonts w:ascii="Century Gothic" w:hAnsi="Century Gothic" w:cs="Century Gothic"/>
          <w:sz w:val="18"/>
          <w:szCs w:val="18"/>
        </w:rPr>
      </w:pPr>
    </w:p>
    <w:p w14:paraId="4CD66B24" w14:textId="77777777" w:rsidR="003A289F" w:rsidRDefault="003A289F" w:rsidP="003A289F">
      <w:pPr>
        <w:keepNext/>
        <w:keepLines/>
        <w:outlineLvl w:val="0"/>
      </w:pPr>
      <w:r>
        <w:rPr>
          <w:rFonts w:ascii="Century Gothic" w:eastAsiaTheme="majorEastAsia" w:hAnsi="Century Gothic" w:cstheme="majorBidi"/>
          <w:color w:val="365F91" w:themeColor="accent1" w:themeShade="BF"/>
          <w:sz w:val="22"/>
        </w:rPr>
        <w:t xml:space="preserve">XV. </w:t>
      </w:r>
      <w:r w:rsidRPr="00054AFF">
        <w:rPr>
          <w:rFonts w:ascii="Century Gothic" w:eastAsiaTheme="majorEastAsia" w:hAnsi="Century Gothic" w:cstheme="majorBidi"/>
          <w:color w:val="365F91" w:themeColor="accent1" w:themeShade="BF"/>
          <w:sz w:val="22"/>
        </w:rPr>
        <w:t xml:space="preserve">ADJOURNMENT </w:t>
      </w:r>
    </w:p>
    <w:p w14:paraId="58D917B2" w14:textId="77777777" w:rsidR="003A289F" w:rsidRDefault="003A289F" w:rsidP="003A289F"/>
    <w:p w14:paraId="37F05020" w14:textId="43C3FAF2" w:rsidR="00487293" w:rsidRPr="00E257B3" w:rsidRDefault="00487293" w:rsidP="003A289F">
      <w:pPr>
        <w:pStyle w:val="Heading2"/>
        <w:spacing w:before="0" w:beforeAutospacing="0" w:after="0" w:afterAutospacing="0"/>
        <w:jc w:val="center"/>
      </w:pPr>
    </w:p>
    <w:sectPr w:rsidR="00487293" w:rsidRPr="00E257B3" w:rsidSect="00683D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9A0F" w14:textId="77777777" w:rsidR="00A94C57" w:rsidRDefault="00A94C57" w:rsidP="00D03439">
      <w:r>
        <w:separator/>
      </w:r>
    </w:p>
  </w:endnote>
  <w:endnote w:type="continuationSeparator" w:id="0">
    <w:p w14:paraId="17B78834" w14:textId="77777777" w:rsidR="00A94C57" w:rsidRDefault="00A94C57" w:rsidP="00D0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3F91" w14:textId="77777777" w:rsidR="00BB5C12" w:rsidRDefault="00BB5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6AD1" w14:textId="77777777" w:rsidR="00BB5C12" w:rsidRDefault="00BB5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6C38" w14:textId="77777777" w:rsidR="00BB5C12" w:rsidRDefault="00BB5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B328" w14:textId="77777777" w:rsidR="00A94C57" w:rsidRDefault="00A94C57" w:rsidP="00D03439">
      <w:r>
        <w:separator/>
      </w:r>
    </w:p>
  </w:footnote>
  <w:footnote w:type="continuationSeparator" w:id="0">
    <w:p w14:paraId="5795727E" w14:textId="77777777" w:rsidR="00A94C57" w:rsidRDefault="00A94C57" w:rsidP="00D0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E5CC" w14:textId="77777777" w:rsidR="00BB5C12" w:rsidRDefault="00BB5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BFBB" w14:textId="77777777" w:rsidR="00BB5C12" w:rsidRDefault="00BB5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3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nvironmental Protection Board Letterhead"/>
    </w:tblPr>
    <w:tblGrid>
      <w:gridCol w:w="2862"/>
      <w:gridCol w:w="4513"/>
      <w:gridCol w:w="3064"/>
    </w:tblGrid>
    <w:tr w:rsidR="00683D3D" w14:paraId="76CAA857" w14:textId="77777777" w:rsidTr="00CF5FAD">
      <w:trPr>
        <w:trHeight w:val="2790"/>
        <w:tblHeader/>
      </w:trPr>
      <w:tc>
        <w:tcPr>
          <w:tcW w:w="2862" w:type="dxa"/>
        </w:tcPr>
        <w:p w14:paraId="15C7B309" w14:textId="77777777" w:rsidR="00683D3D" w:rsidRDefault="00683D3D" w:rsidP="00BB05D0">
          <w:pPr>
            <w:pStyle w:val="Header"/>
          </w:pPr>
          <w:r w:rsidRPr="00D03439">
            <w:rPr>
              <w:noProof/>
              <w:color w:val="1F497D" w:themeColor="text2"/>
              <w:sz w:val="16"/>
              <w:szCs w:val="16"/>
            </w:rPr>
            <w:drawing>
              <wp:anchor distT="0" distB="0" distL="114300" distR="114300" simplePos="0" relativeHeight="251658240" behindDoc="1" locked="0" layoutInCell="1" allowOverlap="1" wp14:anchorId="04D127F0" wp14:editId="50C23FE8">
                <wp:simplePos x="0" y="0"/>
                <wp:positionH relativeFrom="column">
                  <wp:posOffset>-68580</wp:posOffset>
                </wp:positionH>
                <wp:positionV relativeFrom="paragraph">
                  <wp:posOffset>0</wp:posOffset>
                </wp:positionV>
                <wp:extent cx="1600200" cy="1963420"/>
                <wp:effectExtent l="0" t="0" r="0" b="0"/>
                <wp:wrapTight wrapText="bothSides">
                  <wp:wrapPolygon edited="0">
                    <wp:start x="8229" y="419"/>
                    <wp:lineTo x="6686" y="1048"/>
                    <wp:lineTo x="2057" y="3772"/>
                    <wp:lineTo x="257" y="7545"/>
                    <wp:lineTo x="514" y="10898"/>
                    <wp:lineTo x="2571" y="14251"/>
                    <wp:lineTo x="2571" y="15089"/>
                    <wp:lineTo x="8743" y="17604"/>
                    <wp:lineTo x="1543" y="18023"/>
                    <wp:lineTo x="1029" y="19071"/>
                    <wp:lineTo x="4371" y="20748"/>
                    <wp:lineTo x="16457" y="20748"/>
                    <wp:lineTo x="20314" y="19071"/>
                    <wp:lineTo x="19800" y="18023"/>
                    <wp:lineTo x="12600" y="17604"/>
                    <wp:lineTo x="19029" y="14880"/>
                    <wp:lineTo x="21086" y="10898"/>
                    <wp:lineTo x="21086" y="7545"/>
                    <wp:lineTo x="19800" y="4611"/>
                    <wp:lineTo x="19543" y="3563"/>
                    <wp:lineTo x="14657" y="1048"/>
                    <wp:lineTo x="13114" y="419"/>
                    <wp:lineTo x="8229" y="41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0200" cy="19634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3" w:type="dxa"/>
        </w:tcPr>
        <w:p w14:paraId="06BA3FEF" w14:textId="07750CBD" w:rsidR="00D26FB5" w:rsidRDefault="00D26FB5" w:rsidP="00BB05D0">
          <w:pPr>
            <w:pStyle w:val="Header"/>
            <w:spacing w:after="480"/>
            <w:rPr>
              <w:b/>
              <w:color w:val="1F497D" w:themeColor="text2"/>
              <w:sz w:val="16"/>
              <w:szCs w:val="16"/>
            </w:rPr>
          </w:pPr>
        </w:p>
        <w:p w14:paraId="1B8851DA" w14:textId="2952F7B2" w:rsidR="00683D3D" w:rsidRPr="00D03439" w:rsidRDefault="00EF17DF" w:rsidP="00D26FB5">
          <w:pPr>
            <w:pStyle w:val="Header"/>
            <w:spacing w:after="480"/>
            <w:rPr>
              <w:noProof/>
              <w:color w:val="1F497D" w:themeColor="text2"/>
              <w:sz w:val="16"/>
              <w:szCs w:val="16"/>
            </w:rPr>
          </w:pPr>
          <w:r>
            <w:rPr>
              <w:b/>
              <w:color w:val="1F497D" w:themeColor="text2"/>
              <w:sz w:val="16"/>
              <w:szCs w:val="16"/>
            </w:rPr>
            <w:t xml:space="preserve">Jacksonville </w:t>
          </w:r>
          <w:r w:rsidR="00683D3D">
            <w:rPr>
              <w:b/>
              <w:color w:val="1F497D" w:themeColor="text2"/>
              <w:sz w:val="16"/>
              <w:szCs w:val="16"/>
            </w:rPr>
            <w:t>Environmental Protection Board Members</w:t>
          </w:r>
          <w:r w:rsidR="00683D3D" w:rsidRPr="00EC3733">
            <w:rPr>
              <w:color w:val="1F497D" w:themeColor="text2"/>
              <w:sz w:val="16"/>
              <w:szCs w:val="16"/>
            </w:rPr>
            <w:br/>
          </w:r>
          <w:r w:rsidR="00C06AEF">
            <w:rPr>
              <w:color w:val="1F497D" w:themeColor="text2"/>
              <w:sz w:val="16"/>
              <w:szCs w:val="16"/>
            </w:rPr>
            <w:t>Thomas Deck</w:t>
          </w:r>
          <w:r w:rsidR="00683D3D">
            <w:rPr>
              <w:color w:val="1F497D" w:themeColor="text2"/>
              <w:sz w:val="16"/>
              <w:szCs w:val="16"/>
            </w:rPr>
            <w:t xml:space="preserve"> - Chairman</w:t>
          </w:r>
          <w:r w:rsidR="00683D3D">
            <w:rPr>
              <w:color w:val="1F497D" w:themeColor="text2"/>
              <w:sz w:val="16"/>
              <w:szCs w:val="16"/>
            </w:rPr>
            <w:br/>
          </w:r>
          <w:r w:rsidR="00C06AEF">
            <w:rPr>
              <w:color w:val="1F497D" w:themeColor="text2"/>
              <w:sz w:val="16"/>
              <w:szCs w:val="16"/>
            </w:rPr>
            <w:t>Adam Hoyles</w:t>
          </w:r>
          <w:r w:rsidR="00683D3D">
            <w:rPr>
              <w:color w:val="1F497D" w:themeColor="text2"/>
              <w:sz w:val="16"/>
              <w:szCs w:val="16"/>
            </w:rPr>
            <w:t xml:space="preserve"> – Vice Chairman</w:t>
          </w:r>
          <w:r w:rsidR="00683D3D">
            <w:rPr>
              <w:color w:val="1F497D" w:themeColor="text2"/>
              <w:sz w:val="16"/>
              <w:szCs w:val="16"/>
            </w:rPr>
            <w:br/>
          </w:r>
          <w:r w:rsidR="00182EE2">
            <w:rPr>
              <w:color w:val="1F497D" w:themeColor="text2"/>
              <w:sz w:val="16"/>
              <w:szCs w:val="16"/>
            </w:rPr>
            <w:t>Sunil Joshi</w:t>
          </w:r>
          <w:r w:rsidR="00683D3D">
            <w:rPr>
              <w:color w:val="1F497D" w:themeColor="text2"/>
              <w:sz w:val="16"/>
              <w:szCs w:val="16"/>
            </w:rPr>
            <w:t>, MD</w:t>
          </w:r>
          <w:r w:rsidR="000B378F">
            <w:rPr>
              <w:color w:val="1F497D" w:themeColor="text2"/>
              <w:sz w:val="16"/>
              <w:szCs w:val="16"/>
            </w:rPr>
            <w:t xml:space="preserve">, </w:t>
          </w:r>
          <w:r w:rsidR="00AD5582">
            <w:rPr>
              <w:color w:val="1F497D" w:themeColor="text2"/>
              <w:sz w:val="16"/>
              <w:szCs w:val="16"/>
            </w:rPr>
            <w:t>Josh Gellers, Ph.D.</w:t>
          </w:r>
          <w:r w:rsidR="0050363F">
            <w:rPr>
              <w:color w:val="1F497D" w:themeColor="text2"/>
              <w:sz w:val="16"/>
              <w:szCs w:val="16"/>
            </w:rPr>
            <w:t xml:space="preserve">, </w:t>
          </w:r>
          <w:r w:rsidR="000B378F">
            <w:rPr>
              <w:color w:val="1F497D" w:themeColor="text2"/>
              <w:sz w:val="16"/>
              <w:szCs w:val="16"/>
            </w:rPr>
            <w:t xml:space="preserve">Beth </w:t>
          </w:r>
          <w:proofErr w:type="gramStart"/>
          <w:r w:rsidR="000B378F">
            <w:rPr>
              <w:color w:val="1F497D" w:themeColor="text2"/>
              <w:sz w:val="16"/>
              <w:szCs w:val="16"/>
            </w:rPr>
            <w:t xml:space="preserve">Leaptrott, </w:t>
          </w:r>
          <w:r w:rsidR="00C06AEF">
            <w:rPr>
              <w:color w:val="1F497D" w:themeColor="text2"/>
              <w:sz w:val="16"/>
              <w:szCs w:val="16"/>
            </w:rPr>
            <w:t xml:space="preserve">  </w:t>
          </w:r>
          <w:proofErr w:type="gramEnd"/>
          <w:r w:rsidR="00C06AEF">
            <w:rPr>
              <w:color w:val="1F497D" w:themeColor="text2"/>
              <w:sz w:val="16"/>
              <w:szCs w:val="16"/>
            </w:rPr>
            <w:t xml:space="preserve">   </w:t>
          </w:r>
          <w:r w:rsidR="002B2EF8">
            <w:rPr>
              <w:color w:val="1F497D" w:themeColor="text2"/>
              <w:sz w:val="16"/>
              <w:szCs w:val="16"/>
            </w:rPr>
            <w:t xml:space="preserve">Clint Noble, </w:t>
          </w:r>
          <w:r w:rsidR="001E7050">
            <w:rPr>
              <w:color w:val="1F497D" w:themeColor="text2"/>
              <w:sz w:val="16"/>
              <w:szCs w:val="16"/>
            </w:rPr>
            <w:t>Guillermo Simon</w:t>
          </w:r>
          <w:r w:rsidR="00C06AEF">
            <w:rPr>
              <w:color w:val="1F497D" w:themeColor="text2"/>
              <w:sz w:val="16"/>
              <w:szCs w:val="16"/>
            </w:rPr>
            <w:t>, David Wood</w:t>
          </w:r>
        </w:p>
      </w:tc>
      <w:tc>
        <w:tcPr>
          <w:tcW w:w="3064" w:type="dxa"/>
        </w:tcPr>
        <w:p w14:paraId="73901EC5" w14:textId="77777777" w:rsidR="00D26FB5" w:rsidRDefault="00D26FB5" w:rsidP="000B378F">
          <w:pPr>
            <w:pStyle w:val="Header"/>
            <w:rPr>
              <w:b/>
              <w:color w:val="1F497D" w:themeColor="text2"/>
              <w:sz w:val="16"/>
              <w:szCs w:val="16"/>
            </w:rPr>
          </w:pPr>
        </w:p>
        <w:p w14:paraId="79B5FFAF" w14:textId="1166ED8D" w:rsidR="000B378F" w:rsidRDefault="00683D3D" w:rsidP="000B378F">
          <w:pPr>
            <w:pStyle w:val="Header"/>
            <w:rPr>
              <w:color w:val="1F497D" w:themeColor="text2"/>
              <w:sz w:val="16"/>
              <w:szCs w:val="16"/>
            </w:rPr>
          </w:pPr>
          <w:r w:rsidRPr="00EC3733">
            <w:rPr>
              <w:b/>
              <w:color w:val="1F497D" w:themeColor="text2"/>
              <w:sz w:val="16"/>
              <w:szCs w:val="16"/>
            </w:rPr>
            <w:t>Air Odor Noise Committee</w:t>
          </w:r>
          <w:r w:rsidRPr="00EC3733">
            <w:rPr>
              <w:color w:val="1F497D" w:themeColor="text2"/>
              <w:sz w:val="16"/>
              <w:szCs w:val="16"/>
            </w:rPr>
            <w:br/>
          </w:r>
          <w:r w:rsidR="00C06AEF">
            <w:rPr>
              <w:color w:val="1F497D" w:themeColor="text2"/>
              <w:sz w:val="16"/>
              <w:szCs w:val="16"/>
            </w:rPr>
            <w:t>Clint Noble</w:t>
          </w:r>
          <w:r w:rsidR="001E7050">
            <w:rPr>
              <w:color w:val="1F497D" w:themeColor="text2"/>
              <w:sz w:val="16"/>
              <w:szCs w:val="16"/>
            </w:rPr>
            <w:t xml:space="preserve"> </w:t>
          </w:r>
          <w:r w:rsidRPr="00EC3733">
            <w:rPr>
              <w:color w:val="1F497D" w:themeColor="text2"/>
              <w:sz w:val="16"/>
              <w:szCs w:val="16"/>
            </w:rPr>
            <w:t>– Chair</w:t>
          </w:r>
          <w:r w:rsidRPr="00EC3733">
            <w:rPr>
              <w:color w:val="1F497D" w:themeColor="text2"/>
              <w:sz w:val="16"/>
              <w:szCs w:val="16"/>
            </w:rPr>
            <w:br/>
          </w:r>
          <w:r w:rsidR="00AD5582">
            <w:rPr>
              <w:color w:val="1F497D" w:themeColor="text2"/>
              <w:sz w:val="16"/>
              <w:szCs w:val="16"/>
            </w:rPr>
            <w:t>Josh Gellers, Ph.D.</w:t>
          </w:r>
          <w:r w:rsidR="000B378F">
            <w:rPr>
              <w:color w:val="1F497D" w:themeColor="text2"/>
              <w:sz w:val="16"/>
              <w:szCs w:val="16"/>
            </w:rPr>
            <w:t xml:space="preserve"> </w:t>
          </w:r>
        </w:p>
        <w:p w14:paraId="4F0B8118" w14:textId="77777777" w:rsidR="00C06AEF" w:rsidRDefault="00182EE2" w:rsidP="000B378F">
          <w:pPr>
            <w:pStyle w:val="Header"/>
            <w:rPr>
              <w:color w:val="1F497D" w:themeColor="text2"/>
              <w:sz w:val="16"/>
              <w:szCs w:val="16"/>
            </w:rPr>
          </w:pPr>
          <w:r>
            <w:rPr>
              <w:color w:val="1F497D" w:themeColor="text2"/>
              <w:sz w:val="16"/>
              <w:szCs w:val="16"/>
            </w:rPr>
            <w:t>Sunil Joshi, MD</w:t>
          </w:r>
        </w:p>
        <w:p w14:paraId="12EC495D" w14:textId="2AFE3AD4" w:rsidR="000B378F" w:rsidRDefault="00C06AEF" w:rsidP="000B378F">
          <w:pPr>
            <w:pStyle w:val="Header"/>
            <w:rPr>
              <w:color w:val="1F497D" w:themeColor="text2"/>
              <w:sz w:val="16"/>
              <w:szCs w:val="16"/>
            </w:rPr>
          </w:pPr>
          <w:r>
            <w:rPr>
              <w:color w:val="1F497D" w:themeColor="text2"/>
              <w:sz w:val="16"/>
              <w:szCs w:val="16"/>
            </w:rPr>
            <w:t>David Wood</w:t>
          </w:r>
          <w:r w:rsidR="00683D3D" w:rsidRPr="00EC3733">
            <w:rPr>
              <w:color w:val="1F497D" w:themeColor="text2"/>
              <w:sz w:val="16"/>
              <w:szCs w:val="16"/>
            </w:rPr>
            <w:br/>
          </w:r>
        </w:p>
        <w:p w14:paraId="240BB82C" w14:textId="51CEB888" w:rsidR="000B378F" w:rsidRDefault="00683D3D" w:rsidP="00BB05D0">
          <w:pPr>
            <w:pStyle w:val="Header"/>
            <w:rPr>
              <w:color w:val="1F497D" w:themeColor="text2"/>
              <w:sz w:val="16"/>
              <w:szCs w:val="16"/>
            </w:rPr>
          </w:pPr>
          <w:r w:rsidRPr="00EC3733">
            <w:rPr>
              <w:b/>
              <w:color w:val="1F497D" w:themeColor="text2"/>
              <w:sz w:val="16"/>
              <w:szCs w:val="16"/>
            </w:rPr>
            <w:t>Water Committee</w:t>
          </w:r>
          <w:r w:rsidRPr="00EC3733">
            <w:rPr>
              <w:color w:val="1F497D" w:themeColor="text2"/>
              <w:sz w:val="16"/>
              <w:szCs w:val="16"/>
            </w:rPr>
            <w:br/>
          </w:r>
          <w:r w:rsidR="00AD5582">
            <w:rPr>
              <w:color w:val="1F497D" w:themeColor="text2"/>
              <w:sz w:val="16"/>
              <w:szCs w:val="16"/>
            </w:rPr>
            <w:t>Adam Hoyles</w:t>
          </w:r>
          <w:r w:rsidR="000B378F" w:rsidRPr="00EC3733">
            <w:rPr>
              <w:color w:val="1F497D" w:themeColor="text2"/>
              <w:sz w:val="16"/>
              <w:szCs w:val="16"/>
            </w:rPr>
            <w:t xml:space="preserve"> </w:t>
          </w:r>
          <w:r w:rsidRPr="00EC3733">
            <w:rPr>
              <w:color w:val="1F497D" w:themeColor="text2"/>
              <w:sz w:val="16"/>
              <w:szCs w:val="16"/>
            </w:rPr>
            <w:t>– Chair</w:t>
          </w:r>
          <w:r w:rsidRPr="00EC3733">
            <w:rPr>
              <w:color w:val="1F497D" w:themeColor="text2"/>
              <w:sz w:val="16"/>
              <w:szCs w:val="16"/>
            </w:rPr>
            <w:br/>
          </w:r>
          <w:r w:rsidR="00AD5582">
            <w:rPr>
              <w:color w:val="1F497D" w:themeColor="text2"/>
              <w:sz w:val="16"/>
              <w:szCs w:val="16"/>
            </w:rPr>
            <w:t>Josh Gellers, Ph.D.</w:t>
          </w:r>
        </w:p>
        <w:p w14:paraId="031B0696" w14:textId="77777777" w:rsidR="002B2EF8" w:rsidRDefault="000B378F" w:rsidP="003355F7">
          <w:pPr>
            <w:pStyle w:val="Header"/>
            <w:rPr>
              <w:color w:val="1F497D" w:themeColor="text2"/>
              <w:sz w:val="16"/>
              <w:szCs w:val="16"/>
            </w:rPr>
          </w:pPr>
          <w:r>
            <w:rPr>
              <w:color w:val="1F497D" w:themeColor="text2"/>
              <w:sz w:val="16"/>
              <w:szCs w:val="16"/>
            </w:rPr>
            <w:t>Beth Leaptrott</w:t>
          </w:r>
        </w:p>
        <w:p w14:paraId="6C32E010" w14:textId="0855CF70" w:rsidR="001E7050" w:rsidRPr="00EC3733" w:rsidRDefault="001E7050" w:rsidP="003355F7">
          <w:pPr>
            <w:pStyle w:val="Header"/>
            <w:rPr>
              <w:color w:val="1F497D" w:themeColor="text2"/>
              <w:sz w:val="16"/>
              <w:szCs w:val="16"/>
            </w:rPr>
          </w:pPr>
          <w:r>
            <w:rPr>
              <w:color w:val="1F497D" w:themeColor="text2"/>
              <w:sz w:val="16"/>
              <w:szCs w:val="16"/>
            </w:rPr>
            <w:t>Guillermo Simon</w:t>
          </w:r>
        </w:p>
      </w:tc>
    </w:tr>
  </w:tbl>
  <w:p w14:paraId="57A90C69" w14:textId="77777777" w:rsidR="00E26100" w:rsidRDefault="00E26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075"/>
    <w:multiLevelType w:val="hybridMultilevel"/>
    <w:tmpl w:val="0DAE4AB8"/>
    <w:lvl w:ilvl="0" w:tplc="B016E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60AC"/>
    <w:multiLevelType w:val="hybridMultilevel"/>
    <w:tmpl w:val="2BAC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86084"/>
    <w:multiLevelType w:val="hybridMultilevel"/>
    <w:tmpl w:val="DDD24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E34894"/>
    <w:multiLevelType w:val="hybridMultilevel"/>
    <w:tmpl w:val="132C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70A05"/>
    <w:multiLevelType w:val="hybridMultilevel"/>
    <w:tmpl w:val="772AE41A"/>
    <w:lvl w:ilvl="0" w:tplc="43B6FD3E">
      <w:start w:val="1"/>
      <w:numFmt w:val="upperRoman"/>
      <w:lvlText w:val="%1."/>
      <w:lvlJc w:val="left"/>
      <w:pPr>
        <w:ind w:left="810" w:hanging="360"/>
      </w:pPr>
      <w:rPr>
        <w:rFonts w:cs="Times New Roman" w:hint="default"/>
        <w:b/>
        <w:bCs/>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430" w:hanging="180"/>
      </w:pPr>
      <w:rPr>
        <w:rFonts w:ascii="Symbol" w:hAnsi="Symbol" w:hint="default"/>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5" w15:restartNumberingAfterBreak="0">
    <w:nsid w:val="4602737B"/>
    <w:multiLevelType w:val="hybridMultilevel"/>
    <w:tmpl w:val="56C07C64"/>
    <w:lvl w:ilvl="0" w:tplc="ECC8446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96A12"/>
    <w:multiLevelType w:val="hybridMultilevel"/>
    <w:tmpl w:val="1E8C4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A6263"/>
    <w:multiLevelType w:val="hybridMultilevel"/>
    <w:tmpl w:val="8A8EE4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52D5B13"/>
    <w:multiLevelType w:val="hybridMultilevel"/>
    <w:tmpl w:val="42DA2F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9D51B8F"/>
    <w:multiLevelType w:val="hybridMultilevel"/>
    <w:tmpl w:val="135054D0"/>
    <w:lvl w:ilvl="0" w:tplc="04090001">
      <w:start w:val="1"/>
      <w:numFmt w:val="bullet"/>
      <w:lvlText w:val=""/>
      <w:lvlJc w:val="left"/>
      <w:pPr>
        <w:ind w:left="810" w:hanging="360"/>
      </w:pPr>
      <w:rPr>
        <w:rFonts w:ascii="Symbol" w:hAnsi="Symbol" w:hint="default"/>
        <w:b/>
        <w:bCs/>
      </w:rPr>
    </w:lvl>
    <w:lvl w:ilvl="1" w:tplc="FFFFFFFF">
      <w:start w:val="1"/>
      <w:numFmt w:val="bullet"/>
      <w:lvlText w:val=""/>
      <w:lvlJc w:val="left"/>
      <w:pPr>
        <w:ind w:left="1620" w:hanging="360"/>
      </w:pPr>
      <w:rPr>
        <w:rFonts w:ascii="Symbol" w:hAnsi="Symbol" w:hint="default"/>
      </w:rPr>
    </w:lvl>
    <w:lvl w:ilvl="2" w:tplc="FFFFFFFF">
      <w:start w:val="1"/>
      <w:numFmt w:val="bullet"/>
      <w:lvlText w:val="o"/>
      <w:lvlJc w:val="left"/>
      <w:pPr>
        <w:ind w:left="2610" w:hanging="360"/>
      </w:pPr>
      <w:rPr>
        <w:rFonts w:ascii="Courier New" w:hAnsi="Courier New" w:cs="Courier New" w:hint="default"/>
      </w:rPr>
    </w:lvl>
    <w:lvl w:ilvl="3" w:tplc="FFFFFFFF">
      <w:start w:val="1"/>
      <w:numFmt w:val="decimal"/>
      <w:lvlText w:val="%4."/>
      <w:lvlJc w:val="left"/>
      <w:pPr>
        <w:ind w:left="3150" w:hanging="360"/>
      </w:pPr>
      <w:rPr>
        <w:rFonts w:cs="Times New Roman"/>
      </w:rPr>
    </w:lvl>
    <w:lvl w:ilvl="4" w:tplc="FFFFFFFF" w:tentative="1">
      <w:start w:val="1"/>
      <w:numFmt w:val="lowerLetter"/>
      <w:lvlText w:val="%5."/>
      <w:lvlJc w:val="left"/>
      <w:pPr>
        <w:ind w:left="3870" w:hanging="360"/>
      </w:pPr>
      <w:rPr>
        <w:rFonts w:cs="Times New Roman"/>
      </w:rPr>
    </w:lvl>
    <w:lvl w:ilvl="5" w:tplc="FFFFFFFF" w:tentative="1">
      <w:start w:val="1"/>
      <w:numFmt w:val="lowerRoman"/>
      <w:lvlText w:val="%6."/>
      <w:lvlJc w:val="right"/>
      <w:pPr>
        <w:ind w:left="4590" w:hanging="180"/>
      </w:pPr>
      <w:rPr>
        <w:rFonts w:cs="Times New Roman"/>
      </w:rPr>
    </w:lvl>
    <w:lvl w:ilvl="6" w:tplc="FFFFFFFF" w:tentative="1">
      <w:start w:val="1"/>
      <w:numFmt w:val="decimal"/>
      <w:lvlText w:val="%7."/>
      <w:lvlJc w:val="left"/>
      <w:pPr>
        <w:ind w:left="5310" w:hanging="360"/>
      </w:pPr>
      <w:rPr>
        <w:rFonts w:cs="Times New Roman"/>
      </w:rPr>
    </w:lvl>
    <w:lvl w:ilvl="7" w:tplc="FFFFFFFF" w:tentative="1">
      <w:start w:val="1"/>
      <w:numFmt w:val="lowerLetter"/>
      <w:lvlText w:val="%8."/>
      <w:lvlJc w:val="left"/>
      <w:pPr>
        <w:ind w:left="6030" w:hanging="360"/>
      </w:pPr>
      <w:rPr>
        <w:rFonts w:cs="Times New Roman"/>
      </w:rPr>
    </w:lvl>
    <w:lvl w:ilvl="8" w:tplc="FFFFFFFF" w:tentative="1">
      <w:start w:val="1"/>
      <w:numFmt w:val="lowerRoman"/>
      <w:lvlText w:val="%9."/>
      <w:lvlJc w:val="right"/>
      <w:pPr>
        <w:ind w:left="6750" w:hanging="180"/>
      </w:pPr>
      <w:rPr>
        <w:rFonts w:cs="Times New Roman"/>
      </w:rPr>
    </w:lvl>
  </w:abstractNum>
  <w:abstractNum w:abstractNumId="10" w15:restartNumberingAfterBreak="0">
    <w:nsid w:val="5BDA0A15"/>
    <w:multiLevelType w:val="hybridMultilevel"/>
    <w:tmpl w:val="DF347E42"/>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9733B"/>
    <w:multiLevelType w:val="hybridMultilevel"/>
    <w:tmpl w:val="208A9F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99004D9"/>
    <w:multiLevelType w:val="hybridMultilevel"/>
    <w:tmpl w:val="A16C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C4DF3"/>
    <w:multiLevelType w:val="hybridMultilevel"/>
    <w:tmpl w:val="F1200B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899457">
    <w:abstractNumId w:val="2"/>
  </w:num>
  <w:num w:numId="2" w16cid:durableId="2133209597">
    <w:abstractNumId w:val="5"/>
  </w:num>
  <w:num w:numId="3" w16cid:durableId="1314215821">
    <w:abstractNumId w:val="1"/>
  </w:num>
  <w:num w:numId="4" w16cid:durableId="1893926941">
    <w:abstractNumId w:val="10"/>
  </w:num>
  <w:num w:numId="5" w16cid:durableId="1683168007">
    <w:abstractNumId w:val="13"/>
  </w:num>
  <w:num w:numId="6" w16cid:durableId="246572459">
    <w:abstractNumId w:val="4"/>
  </w:num>
  <w:num w:numId="7" w16cid:durableId="1184174610">
    <w:abstractNumId w:val="9"/>
  </w:num>
  <w:num w:numId="8" w16cid:durableId="524369335">
    <w:abstractNumId w:val="0"/>
  </w:num>
  <w:num w:numId="9" w16cid:durableId="222958330">
    <w:abstractNumId w:val="12"/>
  </w:num>
  <w:num w:numId="10" w16cid:durableId="1196309505">
    <w:abstractNumId w:val="11"/>
  </w:num>
  <w:num w:numId="11" w16cid:durableId="677738532">
    <w:abstractNumId w:val="8"/>
  </w:num>
  <w:num w:numId="12" w16cid:durableId="2002417667">
    <w:abstractNumId w:val="6"/>
  </w:num>
  <w:num w:numId="13" w16cid:durableId="2085955908">
    <w:abstractNumId w:val="7"/>
  </w:num>
  <w:num w:numId="14" w16cid:durableId="937785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39"/>
    <w:rsid w:val="00002980"/>
    <w:rsid w:val="000B378F"/>
    <w:rsid w:val="000C6F3A"/>
    <w:rsid w:val="000F681E"/>
    <w:rsid w:val="00104363"/>
    <w:rsid w:val="00182EE2"/>
    <w:rsid w:val="001E7050"/>
    <w:rsid w:val="00211C95"/>
    <w:rsid w:val="00294584"/>
    <w:rsid w:val="002B2EF8"/>
    <w:rsid w:val="002E2051"/>
    <w:rsid w:val="00323D40"/>
    <w:rsid w:val="003276BA"/>
    <w:rsid w:val="003355F7"/>
    <w:rsid w:val="00394A11"/>
    <w:rsid w:val="003A289F"/>
    <w:rsid w:val="00487293"/>
    <w:rsid w:val="004C6B3C"/>
    <w:rsid w:val="004D7E3E"/>
    <w:rsid w:val="0050164B"/>
    <w:rsid w:val="0050363F"/>
    <w:rsid w:val="00584588"/>
    <w:rsid w:val="005960BE"/>
    <w:rsid w:val="006826BB"/>
    <w:rsid w:val="00683D3D"/>
    <w:rsid w:val="006F3EF1"/>
    <w:rsid w:val="008017C6"/>
    <w:rsid w:val="008A4B6B"/>
    <w:rsid w:val="00A439F0"/>
    <w:rsid w:val="00A77E44"/>
    <w:rsid w:val="00A94C57"/>
    <w:rsid w:val="00AC3542"/>
    <w:rsid w:val="00AD5582"/>
    <w:rsid w:val="00BB5C12"/>
    <w:rsid w:val="00C038F6"/>
    <w:rsid w:val="00C06AEF"/>
    <w:rsid w:val="00C31DC7"/>
    <w:rsid w:val="00CF5FAD"/>
    <w:rsid w:val="00D03439"/>
    <w:rsid w:val="00D26FB5"/>
    <w:rsid w:val="00D709DF"/>
    <w:rsid w:val="00E257B3"/>
    <w:rsid w:val="00E26100"/>
    <w:rsid w:val="00E95420"/>
    <w:rsid w:val="00EF17DF"/>
    <w:rsid w:val="00F5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E92D3E"/>
  <w15:docId w15:val="{3D232D53-F7A6-4E49-8D8F-F3E31A4C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6F3EF1"/>
    <w:pPr>
      <w:spacing w:before="100" w:beforeAutospacing="1" w:after="100" w:afterAutospacing="1"/>
      <w:outlineLvl w:val="1"/>
    </w:pPr>
    <w:rPr>
      <w:rFonts w:ascii="Calibri" w:hAnsi="Calibri" w:cs="Calibri"/>
      <w:b/>
      <w:bCs/>
      <w:sz w:val="36"/>
      <w:szCs w:val="36"/>
    </w:rPr>
  </w:style>
  <w:style w:type="paragraph" w:styleId="Heading3">
    <w:name w:val="heading 3"/>
    <w:basedOn w:val="Normal"/>
    <w:link w:val="Heading3Char"/>
    <w:uiPriority w:val="9"/>
    <w:semiHidden/>
    <w:unhideWhenUsed/>
    <w:qFormat/>
    <w:rsid w:val="006F3EF1"/>
    <w:pPr>
      <w:spacing w:before="100" w:beforeAutospacing="1" w:after="100" w:afterAutospacing="1"/>
      <w:outlineLvl w:val="2"/>
    </w:pPr>
    <w:rPr>
      <w:rFonts w:ascii="Calibri" w:hAnsi="Calibri" w:cs="Calibri"/>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39"/>
    <w:pPr>
      <w:tabs>
        <w:tab w:val="center" w:pos="4680"/>
        <w:tab w:val="right" w:pos="9360"/>
      </w:tabs>
    </w:pPr>
  </w:style>
  <w:style w:type="character" w:customStyle="1" w:styleId="HeaderChar">
    <w:name w:val="Header Char"/>
    <w:basedOn w:val="DefaultParagraphFont"/>
    <w:link w:val="Header"/>
    <w:uiPriority w:val="99"/>
    <w:rsid w:val="00D03439"/>
  </w:style>
  <w:style w:type="paragraph" w:styleId="Footer">
    <w:name w:val="footer"/>
    <w:basedOn w:val="Normal"/>
    <w:link w:val="FooterChar"/>
    <w:uiPriority w:val="99"/>
    <w:unhideWhenUsed/>
    <w:rsid w:val="00D03439"/>
    <w:pPr>
      <w:tabs>
        <w:tab w:val="center" w:pos="4680"/>
        <w:tab w:val="right" w:pos="9360"/>
      </w:tabs>
    </w:pPr>
  </w:style>
  <w:style w:type="character" w:customStyle="1" w:styleId="FooterChar">
    <w:name w:val="Footer Char"/>
    <w:basedOn w:val="DefaultParagraphFont"/>
    <w:link w:val="Footer"/>
    <w:uiPriority w:val="99"/>
    <w:rsid w:val="00D03439"/>
  </w:style>
  <w:style w:type="paragraph" w:styleId="BalloonText">
    <w:name w:val="Balloon Text"/>
    <w:basedOn w:val="Normal"/>
    <w:link w:val="BalloonTextChar"/>
    <w:uiPriority w:val="99"/>
    <w:semiHidden/>
    <w:unhideWhenUsed/>
    <w:rsid w:val="00D03439"/>
    <w:rPr>
      <w:rFonts w:ascii="Tahoma" w:hAnsi="Tahoma" w:cs="Tahoma"/>
      <w:sz w:val="16"/>
      <w:szCs w:val="16"/>
    </w:rPr>
  </w:style>
  <w:style w:type="character" w:customStyle="1" w:styleId="BalloonTextChar">
    <w:name w:val="Balloon Text Char"/>
    <w:basedOn w:val="DefaultParagraphFont"/>
    <w:link w:val="BalloonText"/>
    <w:uiPriority w:val="99"/>
    <w:semiHidden/>
    <w:rsid w:val="00D03439"/>
    <w:rPr>
      <w:rFonts w:ascii="Tahoma" w:hAnsi="Tahoma" w:cs="Tahoma"/>
      <w:sz w:val="16"/>
      <w:szCs w:val="16"/>
    </w:rPr>
  </w:style>
  <w:style w:type="table" w:styleId="TableGrid">
    <w:name w:val="Table Grid"/>
    <w:basedOn w:val="TableNormal"/>
    <w:uiPriority w:val="59"/>
    <w:rsid w:val="00D0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F3EF1"/>
    <w:rPr>
      <w:rFonts w:ascii="Calibri" w:hAnsi="Calibri" w:cs="Calibri"/>
      <w:b/>
      <w:bCs/>
      <w:sz w:val="36"/>
      <w:szCs w:val="36"/>
    </w:rPr>
  </w:style>
  <w:style w:type="character" w:customStyle="1" w:styleId="Heading3Char">
    <w:name w:val="Heading 3 Char"/>
    <w:basedOn w:val="DefaultParagraphFont"/>
    <w:link w:val="Heading3"/>
    <w:uiPriority w:val="9"/>
    <w:semiHidden/>
    <w:rsid w:val="006F3EF1"/>
    <w:rPr>
      <w:rFonts w:ascii="Calibri" w:hAnsi="Calibri" w:cs="Calibri"/>
      <w:b/>
      <w:bCs/>
      <w:sz w:val="27"/>
      <w:szCs w:val="27"/>
    </w:rPr>
  </w:style>
  <w:style w:type="character" w:styleId="Hyperlink">
    <w:name w:val="Hyperlink"/>
    <w:basedOn w:val="DefaultParagraphFont"/>
    <w:uiPriority w:val="99"/>
    <w:unhideWhenUsed/>
    <w:rsid w:val="006F3EF1"/>
    <w:rPr>
      <w:color w:val="0563C1"/>
      <w:u w:val="single"/>
    </w:rPr>
  </w:style>
  <w:style w:type="character" w:styleId="Strong">
    <w:name w:val="Strong"/>
    <w:basedOn w:val="DefaultParagraphFont"/>
    <w:uiPriority w:val="22"/>
    <w:qFormat/>
    <w:rsid w:val="006F3EF1"/>
    <w:rPr>
      <w:b/>
      <w:bCs/>
    </w:rPr>
  </w:style>
  <w:style w:type="character" w:styleId="UnresolvedMention">
    <w:name w:val="Unresolved Mention"/>
    <w:basedOn w:val="DefaultParagraphFont"/>
    <w:uiPriority w:val="99"/>
    <w:semiHidden/>
    <w:unhideWhenUsed/>
    <w:rsid w:val="00323D40"/>
    <w:rPr>
      <w:color w:val="605E5C"/>
      <w:shd w:val="clear" w:color="auto" w:fill="E1DFDD"/>
    </w:rPr>
  </w:style>
  <w:style w:type="paragraph" w:styleId="ListParagraph">
    <w:name w:val="List Paragraph"/>
    <w:basedOn w:val="Normal"/>
    <w:uiPriority w:val="34"/>
    <w:qFormat/>
    <w:rsid w:val="00BB5C12"/>
    <w:pPr>
      <w:ind w:left="720"/>
      <w:contextualSpacing/>
    </w:pPr>
  </w:style>
  <w:style w:type="character" w:styleId="PlaceholderText">
    <w:name w:val="Placeholder Text"/>
    <w:basedOn w:val="DefaultParagraphFont"/>
    <w:uiPriority w:val="99"/>
    <w:semiHidden/>
    <w:rsid w:val="003A28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5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13D3-2DB9-4300-BD6C-4E821AC7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Long</dc:creator>
  <cp:lastModifiedBy>Richardson, James</cp:lastModifiedBy>
  <cp:revision>2</cp:revision>
  <cp:lastPrinted>2022-07-29T15:38:00Z</cp:lastPrinted>
  <dcterms:created xsi:type="dcterms:W3CDTF">2023-11-20T15:56:00Z</dcterms:created>
  <dcterms:modified xsi:type="dcterms:W3CDTF">2023-11-20T15:56:00Z</dcterms:modified>
</cp:coreProperties>
</file>