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F35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6CD771C6" w14:textId="7787BA01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154FD3">
        <w:rPr>
          <w:rFonts w:ascii="Century Gothic" w:hAnsi="Century Gothic" w:cs="Century Gothic"/>
          <w:b/>
          <w:color w:val="00B050"/>
          <w:sz w:val="28"/>
          <w:szCs w:val="28"/>
        </w:rPr>
        <w:t>July 15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2024</w:t>
      </w:r>
    </w:p>
    <w:p w14:paraId="2034ADF8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002D272" w14:textId="77777777" w:rsidR="002E6DD9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2750209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47FF8ED5" w14:textId="77777777" w:rsidR="002E6DD9" w:rsidRPr="005A0EAC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321767E2" w14:textId="27BA72F4" w:rsidR="002E6DD9" w:rsidRPr="00031791" w:rsidRDefault="00BB5723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BB5723">
        <w:rPr>
          <w:rFonts w:ascii="Century Gothic" w:hAnsi="Century Gothic" w:cs="Century Gothic"/>
          <w:b/>
          <w:bCs/>
          <w:color w:val="FF0000"/>
          <w:sz w:val="28"/>
          <w:szCs w:val="28"/>
        </w:rPr>
        <w:t xml:space="preserve">REVISED - </w:t>
      </w:r>
      <w:r w:rsidR="002E6DD9" w:rsidRPr="00BB5723">
        <w:rPr>
          <w:rFonts w:ascii="Century Gothic" w:hAnsi="Century Gothic" w:cs="Century Gothic"/>
          <w:b/>
          <w:bCs/>
          <w:color w:val="FF0000"/>
          <w:sz w:val="28"/>
          <w:szCs w:val="28"/>
        </w:rPr>
        <w:t xml:space="preserve">BOARD MEETING AGENDA </w:t>
      </w:r>
    </w:p>
    <w:p w14:paraId="46F90F29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5BC76B5D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0C6EB5F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0E477CC8" w14:textId="77777777" w:rsidR="002E6DD9" w:rsidRDefault="002E6DD9" w:rsidP="002E6DD9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597987B3" w14:textId="77777777" w:rsidR="003B27A4" w:rsidRPr="00054AFF" w:rsidRDefault="003B27A4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F034AD1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4C5A1901" w14:textId="77777777" w:rsidR="002E6DD9" w:rsidRPr="007C5EFB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377E167A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7B311B5C" w14:textId="39035698" w:rsidR="002E6DD9" w:rsidRDefault="00EE4F23" w:rsidP="002E6D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June 17</w:t>
      </w:r>
      <w:r w:rsidR="002E6DD9">
        <w:rPr>
          <w:rFonts w:ascii="Century Gothic" w:hAnsi="Century Gothic"/>
          <w:bCs/>
          <w:sz w:val="22"/>
        </w:rPr>
        <w:t>, 2024</w:t>
      </w:r>
      <w:r w:rsidR="002E6DD9" w:rsidRPr="008D3936">
        <w:rPr>
          <w:rFonts w:ascii="Century Gothic" w:hAnsi="Century Gothic"/>
          <w:bCs/>
          <w:sz w:val="22"/>
        </w:rPr>
        <w:t>, Monthly Meeting</w:t>
      </w:r>
      <w:r w:rsidR="002E6DD9">
        <w:rPr>
          <w:rFonts w:ascii="Century Gothic" w:hAnsi="Century Gothic"/>
          <w:bCs/>
          <w:sz w:val="22"/>
        </w:rPr>
        <w:t xml:space="preserve"> Summary</w:t>
      </w:r>
    </w:p>
    <w:p w14:paraId="0F22715E" w14:textId="22F5A6D5" w:rsidR="00786F2A" w:rsidRDefault="00786F2A" w:rsidP="002E6D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June 24, </w:t>
      </w:r>
      <w:proofErr w:type="gramStart"/>
      <w:r>
        <w:rPr>
          <w:rFonts w:ascii="Century Gothic" w:hAnsi="Century Gothic"/>
          <w:bCs/>
          <w:sz w:val="22"/>
        </w:rPr>
        <w:t>2024</w:t>
      </w:r>
      <w:proofErr w:type="gramEnd"/>
      <w:r>
        <w:rPr>
          <w:rFonts w:ascii="Century Gothic" w:hAnsi="Century Gothic"/>
          <w:bCs/>
          <w:sz w:val="22"/>
        </w:rPr>
        <w:t xml:space="preserve"> JEPB Committee Meeting Summaries</w:t>
      </w:r>
    </w:p>
    <w:p w14:paraId="25F39ED8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E21993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E85E9E">
        <w:rPr>
          <w:rFonts w:ascii="Century Gothic" w:eastAsiaTheme="majorEastAsia" w:hAnsi="Century Gothic" w:cstheme="majorBidi"/>
          <w:color w:val="4F81BD" w:themeColor="accent1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9FF972A" w14:textId="77777777" w:rsidR="002E6DD9" w:rsidRDefault="002E6DD9" w:rsidP="002E6DD9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D570B57" w14:textId="77777777" w:rsidR="002E6DD9" w:rsidRPr="003E2671" w:rsidRDefault="002E6DD9" w:rsidP="002E6DD9">
      <w:pPr>
        <w:ind w:left="90" w:firstLine="720"/>
        <w:rPr>
          <w:b/>
          <w:sz w:val="22"/>
        </w:rPr>
      </w:pPr>
      <w:bookmarkStart w:id="2" w:name="_Hlk142922690"/>
      <w:r w:rsidRPr="003E2671">
        <w:rPr>
          <w:b/>
          <w:sz w:val="22"/>
          <w:u w:val="single"/>
        </w:rPr>
        <w:t>Air</w:t>
      </w:r>
      <w:r w:rsidRPr="003E2671">
        <w:rPr>
          <w:b/>
          <w:sz w:val="22"/>
        </w:rPr>
        <w:t xml:space="preserve">  </w:t>
      </w:r>
    </w:p>
    <w:p w14:paraId="2F5ABD5B" w14:textId="77777777" w:rsidR="002E6DD9" w:rsidRPr="003E2671" w:rsidRDefault="002E6DD9" w:rsidP="002E6DD9">
      <w:pPr>
        <w:ind w:left="90" w:firstLine="720"/>
        <w:rPr>
          <w:b/>
          <w:sz w:val="22"/>
        </w:rPr>
      </w:pPr>
    </w:p>
    <w:p w14:paraId="475C023C" w14:textId="41DE8EF4" w:rsidR="002E6DD9" w:rsidRPr="00841351" w:rsidRDefault="00841351" w:rsidP="00841351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2FCE953C" w14:textId="77777777" w:rsidR="002E6DD9" w:rsidRDefault="002E6DD9" w:rsidP="002E6DD9">
      <w:pPr>
        <w:rPr>
          <w:sz w:val="20"/>
          <w:szCs w:val="20"/>
        </w:rPr>
      </w:pPr>
    </w:p>
    <w:p w14:paraId="509A2B7C" w14:textId="77777777" w:rsidR="002E6DD9" w:rsidRPr="003E2671" w:rsidRDefault="002E6DD9" w:rsidP="002E6DD9">
      <w:pPr>
        <w:ind w:left="90" w:firstLine="720"/>
        <w:rPr>
          <w:b/>
          <w:sz w:val="22"/>
          <w:u w:val="single"/>
        </w:rPr>
      </w:pPr>
      <w:r w:rsidRPr="003E2671">
        <w:rPr>
          <w:b/>
          <w:sz w:val="22"/>
          <w:u w:val="single"/>
        </w:rPr>
        <w:t>Water</w:t>
      </w:r>
    </w:p>
    <w:p w14:paraId="4583087E" w14:textId="77777777" w:rsidR="002E6DD9" w:rsidRPr="003E2671" w:rsidRDefault="002E6DD9" w:rsidP="002E6DD9">
      <w:pPr>
        <w:ind w:left="90" w:firstLine="720"/>
        <w:rPr>
          <w:b/>
          <w:sz w:val="22"/>
          <w:u w:val="single"/>
        </w:rPr>
      </w:pPr>
    </w:p>
    <w:p w14:paraId="3BA9BD2B" w14:textId="77777777" w:rsidR="00EE4F23" w:rsidRPr="00EE4F23" w:rsidRDefault="00EE4F23" w:rsidP="00EE4F23">
      <w:pPr>
        <w:pStyle w:val="ListParagraph"/>
        <w:numPr>
          <w:ilvl w:val="0"/>
          <w:numId w:val="5"/>
        </w:numPr>
        <w:ind w:left="1440"/>
        <w:jc w:val="both"/>
        <w:rPr>
          <w:rFonts w:eastAsia="Arial"/>
          <w:sz w:val="22"/>
        </w:rPr>
      </w:pPr>
      <w:bookmarkStart w:id="3" w:name="_Hlk161127426"/>
      <w:bookmarkEnd w:id="1"/>
      <w:bookmarkEnd w:id="2"/>
      <w:r w:rsidRPr="00EE4F23">
        <w:rPr>
          <w:rFonts w:eastAsia="Arial"/>
          <w:b/>
          <w:bCs/>
          <w:color w:val="000000" w:themeColor="text1"/>
          <w:sz w:val="22"/>
        </w:rPr>
        <w:t>FLI Properties LLC</w:t>
      </w:r>
      <w:r w:rsidRPr="00EE4F23">
        <w:rPr>
          <w:rFonts w:eastAsia="Arial"/>
          <w:b/>
          <w:bCs/>
          <w:i/>
          <w:iCs/>
          <w:color w:val="000000" w:themeColor="text1"/>
          <w:sz w:val="22"/>
        </w:rPr>
        <w:t xml:space="preserve"> </w:t>
      </w:r>
      <w:r w:rsidRPr="00EE4F23">
        <w:rPr>
          <w:i/>
          <w:iCs/>
          <w:sz w:val="22"/>
        </w:rPr>
        <w:t xml:space="preserve">[WP-24-20] at 2143 Edgewood Avenue W.   </w:t>
      </w:r>
      <w:r w:rsidRPr="00EE4F23">
        <w:rPr>
          <w:rFonts w:eastAsia="Arial"/>
          <w:sz w:val="22"/>
        </w:rPr>
        <w:t>Discharge of untreated wastewater to the ground, surrounding environment and stormwater system; Failure to operate and maintain the System to remain operational; Failure to comply with Wastewater Collection/Transmission System design standards; Failure to perform required maintenance; and Failure to provide required records.</w:t>
      </w:r>
    </w:p>
    <w:p w14:paraId="72930093" w14:textId="77777777" w:rsidR="00841351" w:rsidRDefault="00841351" w:rsidP="00841351">
      <w:pPr>
        <w:rPr>
          <w:sz w:val="20"/>
          <w:szCs w:val="20"/>
        </w:rPr>
      </w:pPr>
    </w:p>
    <w:bookmarkEnd w:id="3"/>
    <w:p w14:paraId="0C8A08F5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/>
          <w:bCs/>
          <w:snapToGrid w:val="0"/>
          <w:sz w:val="18"/>
          <w:szCs w:val="18"/>
        </w:rPr>
        <w:id w:val="-35578569"/>
        <w:placeholder>
          <w:docPart w:val="8DB3C49F0E3044EBBD47E051A7EB28F5"/>
        </w:placeholder>
      </w:sdtPr>
      <w:sdtEndPr>
        <w:rPr>
          <w:b w:val="0"/>
        </w:rPr>
      </w:sdtEndPr>
      <w:sdtContent>
        <w:p w14:paraId="76DB3154" w14:textId="77777777" w:rsidR="00EE4F23" w:rsidRPr="00EE4F23" w:rsidRDefault="00EE4F23" w:rsidP="00EE4F23">
          <w:pPr>
            <w:ind w:left="2160"/>
            <w:rPr>
              <w:rFonts w:eastAsia="Times New Roman"/>
              <w:bCs/>
              <w:snapToGrid w:val="0"/>
              <w:sz w:val="18"/>
              <w:szCs w:val="18"/>
            </w:rPr>
          </w:pPr>
          <w:r w:rsidRPr="00EE4F23">
            <w:rPr>
              <w:rFonts w:eastAsia="Times New Roman"/>
              <w:bCs/>
              <w:snapToGrid w:val="0"/>
              <w:sz w:val="18"/>
              <w:szCs w:val="18"/>
            </w:rPr>
            <w:t>No immediate action needed; pump station issues are addressed in the Consent Order.</w:t>
          </w:r>
        </w:p>
      </w:sdtContent>
    </w:sdt>
    <w:p w14:paraId="0A6D467B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</w:p>
    <w:p w14:paraId="1D35872C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 xml:space="preserve">Consent Order settlement fee: </w:t>
      </w:r>
    </w:p>
    <w:p w14:paraId="298F5616" w14:textId="77777777" w:rsidR="00841351" w:rsidRPr="00462CCE" w:rsidRDefault="00841351" w:rsidP="00841351">
      <w:pPr>
        <w:ind w:left="2160"/>
        <w:rPr>
          <w:b/>
          <w:sz w:val="18"/>
          <w:szCs w:val="18"/>
        </w:rPr>
      </w:pPr>
      <w:r w:rsidRPr="00462CCE">
        <w:rPr>
          <w:b/>
          <w:sz w:val="18"/>
          <w:szCs w:val="18"/>
        </w:rPr>
        <w:t>$2</w:t>
      </w:r>
      <w:r>
        <w:rPr>
          <w:b/>
          <w:sz w:val="18"/>
          <w:szCs w:val="18"/>
        </w:rPr>
        <w:t>,3</w:t>
      </w:r>
      <w:r w:rsidRPr="00462CCE">
        <w:rPr>
          <w:b/>
          <w:sz w:val="18"/>
          <w:szCs w:val="18"/>
        </w:rPr>
        <w:t>00</w:t>
      </w:r>
    </w:p>
    <w:p w14:paraId="7AE65F2F" w14:textId="77777777" w:rsidR="00841351" w:rsidRDefault="00841351" w:rsidP="00841351">
      <w:pPr>
        <w:ind w:left="2160"/>
        <w:rPr>
          <w:bCs/>
          <w:sz w:val="18"/>
          <w:szCs w:val="18"/>
          <w:u w:val="single"/>
        </w:rPr>
      </w:pPr>
    </w:p>
    <w:p w14:paraId="46ED498F" w14:textId="77777777" w:rsidR="00786F2A" w:rsidRDefault="00786F2A" w:rsidP="00841351">
      <w:pPr>
        <w:ind w:left="2160"/>
        <w:rPr>
          <w:bCs/>
          <w:sz w:val="18"/>
          <w:szCs w:val="18"/>
          <w:u w:val="single"/>
        </w:rPr>
      </w:pPr>
    </w:p>
    <w:p w14:paraId="65B4F806" w14:textId="77777777" w:rsidR="00786F2A" w:rsidRPr="00462CCE" w:rsidRDefault="00786F2A" w:rsidP="00841351">
      <w:pPr>
        <w:ind w:left="2160"/>
        <w:rPr>
          <w:bCs/>
          <w:sz w:val="18"/>
          <w:szCs w:val="18"/>
          <w:u w:val="single"/>
        </w:rPr>
      </w:pPr>
    </w:p>
    <w:p w14:paraId="72DE7C11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lastRenderedPageBreak/>
        <w:t>Consent Order requirements:</w:t>
      </w:r>
    </w:p>
    <w:p w14:paraId="157B175E" w14:textId="77777777" w:rsidR="00EE4F23" w:rsidRPr="00EE4F23" w:rsidRDefault="00EE4F23" w:rsidP="00EE4F23">
      <w:pPr>
        <w:pStyle w:val="ListParagraph"/>
        <w:numPr>
          <w:ilvl w:val="3"/>
          <w:numId w:val="5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EDUCATION CAMPAIGN:  Within 30 days </w:t>
      </w:r>
    </w:p>
    <w:p w14:paraId="2E3C3BB4" w14:textId="77777777" w:rsidR="00EE4F23" w:rsidRPr="00EE4F23" w:rsidRDefault="00EE4F23" w:rsidP="00EE4F23">
      <w:pPr>
        <w:pStyle w:val="ListParagraph"/>
        <w:numPr>
          <w:ilvl w:val="3"/>
          <w:numId w:val="5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INITIAL ENGINEER REPORT:  Within 60 calendar days </w:t>
      </w:r>
    </w:p>
    <w:p w14:paraId="57CB37F7" w14:textId="77777777" w:rsidR="00EE4F23" w:rsidRPr="00EE4F23" w:rsidRDefault="00EE4F23" w:rsidP="00EE4F23">
      <w:pPr>
        <w:pStyle w:val="ListParagraph"/>
        <w:numPr>
          <w:ilvl w:val="3"/>
          <w:numId w:val="5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FINAL ENGINEER REPORT: Within 120 calendar days </w:t>
      </w:r>
    </w:p>
    <w:p w14:paraId="2A2ED4D3" w14:textId="77777777" w:rsidR="00EE4F23" w:rsidRPr="00EE4F23" w:rsidRDefault="00EE4F23" w:rsidP="00EE4F23">
      <w:pPr>
        <w:pStyle w:val="ListParagraph"/>
        <w:numPr>
          <w:ilvl w:val="3"/>
          <w:numId w:val="5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MONTHLY STATUS REPORT upon the effective date </w:t>
      </w:r>
    </w:p>
    <w:p w14:paraId="61A7712D" w14:textId="77777777" w:rsidR="00EE4F23" w:rsidRPr="00EE4F23" w:rsidRDefault="00EE4F23" w:rsidP="00EE4F23">
      <w:pPr>
        <w:pStyle w:val="ListParagraph"/>
        <w:numPr>
          <w:ilvl w:val="3"/>
          <w:numId w:val="5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>MONTHLY MAINTENANCE RECORDS upon the effective date</w:t>
      </w:r>
    </w:p>
    <w:p w14:paraId="1B600792" w14:textId="77777777" w:rsidR="00602048" w:rsidRDefault="00602048" w:rsidP="002E6DD9">
      <w:pPr>
        <w:ind w:left="2160"/>
        <w:rPr>
          <w:sz w:val="18"/>
          <w:szCs w:val="18"/>
        </w:rPr>
      </w:pPr>
    </w:p>
    <w:p w14:paraId="685EBBC4" w14:textId="77777777" w:rsidR="002E6DD9" w:rsidRPr="00BA5A28" w:rsidRDefault="002E6DD9" w:rsidP="002E6DD9">
      <w:pPr>
        <w:ind w:left="2160"/>
        <w:rPr>
          <w:sz w:val="18"/>
          <w:szCs w:val="18"/>
        </w:rPr>
      </w:pPr>
    </w:p>
    <w:p w14:paraId="3574605D" w14:textId="0F1DEA36" w:rsidR="00841351" w:rsidRPr="00841351" w:rsidRDefault="00EE4F23" w:rsidP="00CC7CCA">
      <w:pPr>
        <w:pStyle w:val="ListParagraph"/>
        <w:numPr>
          <w:ilvl w:val="0"/>
          <w:numId w:val="10"/>
        </w:numPr>
        <w:spacing w:line="223" w:lineRule="auto"/>
        <w:rPr>
          <w:rFonts w:eastAsia="Calibri" w:cs="Arial"/>
          <w:kern w:val="2"/>
          <w:sz w:val="22"/>
          <w14:ligatures w14:val="standardContextual"/>
        </w:rPr>
      </w:pPr>
      <w:bookmarkStart w:id="4" w:name="_Hlk171407613"/>
      <w:bookmarkStart w:id="5" w:name="_Hlk161127475"/>
      <w:r w:rsidRPr="003D59AB">
        <w:rPr>
          <w:b/>
          <w:bCs/>
          <w:sz w:val="22"/>
        </w:rPr>
        <w:t>Adley Luxe Poe LLC, BCC Construction, LLC, and Prospect Real Estate Group, LLC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[ESC-24-05] at 665 Starratt Road. </w:t>
      </w:r>
      <w:r w:rsidRPr="00B152D6">
        <w:rPr>
          <w:sz w:val="22"/>
        </w:rPr>
        <w:t>Discharge of non-stormwater to City municipal separate storm sewer system (“MS4”); Failure to comply with erosion and sediment control requirements.</w:t>
      </w:r>
    </w:p>
    <w:p w14:paraId="4CA1AC52" w14:textId="77777777" w:rsidR="00841351" w:rsidRPr="00841351" w:rsidRDefault="00841351" w:rsidP="00841351">
      <w:pPr>
        <w:spacing w:line="223" w:lineRule="auto"/>
        <w:rPr>
          <w:rFonts w:eastAsia="Calibri" w:cs="Arial"/>
          <w:kern w:val="2"/>
          <w:sz w:val="22"/>
          <w14:ligatures w14:val="standardContextual"/>
        </w:rPr>
      </w:pPr>
    </w:p>
    <w:p w14:paraId="5A4E1FAE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Arial" w:cs="Arial"/>
          <w:b/>
          <w:bCs/>
          <w:sz w:val="18"/>
          <w:szCs w:val="18"/>
        </w:rPr>
        <w:id w:val="-657392992"/>
        <w:placeholder>
          <w:docPart w:val="2B77F605D16E475EA5601088DAFECE16"/>
        </w:placeholder>
      </w:sdtPr>
      <w:sdtEndPr>
        <w:rPr>
          <w:b w:val="0"/>
        </w:rPr>
      </w:sdtEndPr>
      <w:sdtContent>
        <w:p w14:paraId="1D14C161" w14:textId="77777777" w:rsidR="00EE4F23" w:rsidRPr="00EE4F23" w:rsidRDefault="00EE4F23" w:rsidP="00EE4F23">
          <w:pPr>
            <w:widowControl w:val="0"/>
            <w:ind w:left="2160"/>
            <w:jc w:val="both"/>
            <w:rPr>
              <w:rFonts w:eastAsia="Arial" w:cs="Arial"/>
              <w:bCs/>
              <w:sz w:val="18"/>
              <w:szCs w:val="18"/>
            </w:rPr>
          </w:pPr>
          <w:r w:rsidRPr="00EE4F23">
            <w:rPr>
              <w:rFonts w:eastAsia="Arial" w:cs="Arial"/>
              <w:bCs/>
              <w:sz w:val="18"/>
              <w:szCs w:val="18"/>
            </w:rPr>
            <w:t>No immediate action needed; pump station issues are addressed in the Consent Order.</w:t>
          </w:r>
        </w:p>
      </w:sdtContent>
    </w:sdt>
    <w:p w14:paraId="73BFD539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2163E8B1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10E297F5" w14:textId="2169B271" w:rsidR="00841351" w:rsidRPr="00EE4F23" w:rsidRDefault="00EE4F23" w:rsidP="00841351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EE4F23">
        <w:rPr>
          <w:rFonts w:eastAsia="Arial" w:cs="Arial"/>
          <w:b/>
          <w:sz w:val="18"/>
          <w:szCs w:val="18"/>
        </w:rPr>
        <w:t>$2,300</w:t>
      </w:r>
    </w:p>
    <w:p w14:paraId="5FEC5AAF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095FCCC3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765BE3C8" w14:textId="77777777" w:rsidR="00EE4F23" w:rsidRPr="00EE4F23" w:rsidRDefault="00EE4F23" w:rsidP="00EE4F23">
      <w:pPr>
        <w:pStyle w:val="ListParagraph"/>
        <w:widowControl w:val="0"/>
        <w:numPr>
          <w:ilvl w:val="3"/>
          <w:numId w:val="10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EDUCATION CAMPAIGN:  Within 30 days </w:t>
      </w:r>
    </w:p>
    <w:p w14:paraId="3E3E67FE" w14:textId="77777777" w:rsidR="00EE4F23" w:rsidRPr="00EE4F23" w:rsidRDefault="00EE4F23" w:rsidP="00EE4F23">
      <w:pPr>
        <w:pStyle w:val="ListParagraph"/>
        <w:widowControl w:val="0"/>
        <w:numPr>
          <w:ilvl w:val="3"/>
          <w:numId w:val="10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INITIAL ENGINEER REPORT:  Within 60 calendar days </w:t>
      </w:r>
    </w:p>
    <w:p w14:paraId="7B284A52" w14:textId="77777777" w:rsidR="00EE4F23" w:rsidRPr="00EE4F23" w:rsidRDefault="00EE4F23" w:rsidP="00EE4F23">
      <w:pPr>
        <w:pStyle w:val="ListParagraph"/>
        <w:widowControl w:val="0"/>
        <w:numPr>
          <w:ilvl w:val="3"/>
          <w:numId w:val="10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FINAL ENGINEER REPORT: Within 120 calendar days </w:t>
      </w:r>
    </w:p>
    <w:p w14:paraId="53B81DD4" w14:textId="77777777" w:rsidR="00EE4F23" w:rsidRPr="00EE4F23" w:rsidRDefault="00EE4F23" w:rsidP="00EE4F23">
      <w:pPr>
        <w:pStyle w:val="ListParagraph"/>
        <w:widowControl w:val="0"/>
        <w:numPr>
          <w:ilvl w:val="3"/>
          <w:numId w:val="10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MONTHLY STATUS REPORT upon the effective date </w:t>
      </w:r>
    </w:p>
    <w:p w14:paraId="595D3989" w14:textId="77777777" w:rsidR="00EE4F23" w:rsidRPr="00EE4F23" w:rsidRDefault="00EE4F23" w:rsidP="00EE4F23">
      <w:pPr>
        <w:pStyle w:val="ListParagraph"/>
        <w:widowControl w:val="0"/>
        <w:numPr>
          <w:ilvl w:val="3"/>
          <w:numId w:val="10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>MONTHLY MAINTENANCE RECORDS upon the effective date</w:t>
      </w:r>
    </w:p>
    <w:bookmarkEnd w:id="4"/>
    <w:p w14:paraId="4593DFF5" w14:textId="77777777" w:rsidR="002E6DD9" w:rsidRDefault="002E6DD9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06A8D50B" w14:textId="77777777" w:rsidR="00EE4F23" w:rsidRDefault="00EE4F2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30A80275" w14:textId="77777777" w:rsidR="00EE4F23" w:rsidRPr="00EE4F23" w:rsidRDefault="00EE4F23" w:rsidP="00EE4F23">
      <w:pPr>
        <w:pStyle w:val="ListParagraph"/>
        <w:numPr>
          <w:ilvl w:val="3"/>
          <w:numId w:val="10"/>
        </w:numPr>
        <w:ind w:left="720"/>
        <w:rPr>
          <w:i/>
          <w:iCs/>
          <w:sz w:val="22"/>
        </w:rPr>
      </w:pPr>
      <w:r w:rsidRPr="00EE4F23">
        <w:rPr>
          <w:rFonts w:eastAsia="Times New Roman"/>
          <w:b/>
          <w:bCs/>
          <w:snapToGrid w:val="0"/>
          <w:sz w:val="22"/>
        </w:rPr>
        <w:t>Huntington Forest LLC, JWB Real Estate Capital, LLC, Atlantic Site &amp; Marine, Inc., and Avant Construction Group, Inc.</w:t>
      </w:r>
      <w:r w:rsidRPr="00EE4F23">
        <w:rPr>
          <w:rFonts w:eastAsia="Times New Roman"/>
          <w:snapToGrid w:val="0"/>
          <w:sz w:val="22"/>
        </w:rPr>
        <w:t xml:space="preserve"> </w:t>
      </w:r>
      <w:r w:rsidRPr="00EE4F23">
        <w:rPr>
          <w:sz w:val="22"/>
        </w:rPr>
        <w:t>[ESC-24-09] at 10109 and 0 Old St. Augustine Road. Discharge of non-stormwater to City municipal separate storm sewer system (“MS4”); Failure to comply with erosion and sediment control requirements.</w:t>
      </w:r>
      <w:r w:rsidRPr="00EE4F23">
        <w:rPr>
          <w:i/>
          <w:iCs/>
          <w:sz w:val="22"/>
        </w:rPr>
        <w:t xml:space="preserve"> </w:t>
      </w:r>
    </w:p>
    <w:p w14:paraId="19AE94D0" w14:textId="77777777" w:rsidR="00EE4F23" w:rsidRPr="00841351" w:rsidRDefault="00EE4F23" w:rsidP="00EE4F23">
      <w:pPr>
        <w:spacing w:line="223" w:lineRule="auto"/>
        <w:rPr>
          <w:rFonts w:eastAsia="Calibri" w:cs="Arial"/>
          <w:kern w:val="2"/>
          <w:sz w:val="22"/>
          <w14:ligatures w14:val="standardContextual"/>
        </w:rPr>
      </w:pPr>
    </w:p>
    <w:p w14:paraId="598FABCE" w14:textId="77777777" w:rsidR="00EE4F23" w:rsidRPr="00841351" w:rsidRDefault="00EE4F23" w:rsidP="00EE4F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bookmarkStart w:id="6" w:name="_Hlk171496135"/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/>
          <w:snapToGrid w:val="0"/>
          <w:sz w:val="18"/>
          <w:szCs w:val="18"/>
        </w:rPr>
        <w:id w:val="234210761"/>
        <w:placeholder>
          <w:docPart w:val="B23BE0A1058E4070834071F9CA867B14"/>
        </w:placeholder>
      </w:sdtPr>
      <w:sdtEndPr>
        <w:rPr>
          <w:b w:val="0"/>
          <w:bCs/>
        </w:rPr>
      </w:sdtEndPr>
      <w:sdtContent>
        <w:p w14:paraId="586BF79A" w14:textId="77777777" w:rsidR="00EE4F23" w:rsidRPr="00EE4F23" w:rsidRDefault="00EE4F23" w:rsidP="00EE4F23">
          <w:pPr>
            <w:widowControl w:val="0"/>
            <w:ind w:left="2160"/>
            <w:rPr>
              <w:rFonts w:eastAsia="Times New Roman"/>
              <w:bCs/>
              <w:snapToGrid w:val="0"/>
              <w:sz w:val="18"/>
              <w:szCs w:val="18"/>
            </w:rPr>
          </w:pPr>
          <w:r w:rsidRPr="00EE4F23">
            <w:rPr>
              <w:rFonts w:eastAsia="Times New Roman"/>
              <w:bCs/>
              <w:snapToGrid w:val="0"/>
              <w:sz w:val="18"/>
              <w:szCs w:val="18"/>
            </w:rPr>
            <w:t xml:space="preserve">Conducted a complete site BMP assessment and completed the necessary maintenance, upgrades to eliminate any unpermitted discharges of non-stormwater issues. </w:t>
          </w:r>
        </w:p>
      </w:sdtContent>
    </w:sdt>
    <w:p w14:paraId="6F9E56EE" w14:textId="77777777" w:rsidR="00EE4F23" w:rsidRPr="00841351" w:rsidRDefault="00EE4F23" w:rsidP="00EE4F23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2879E2AC" w14:textId="77777777" w:rsidR="00EE4F23" w:rsidRPr="00841351" w:rsidRDefault="00EE4F23" w:rsidP="00EE4F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66F99DD9" w14:textId="77777777" w:rsidR="00EE4F23" w:rsidRPr="00EE4F23" w:rsidRDefault="00EE4F23" w:rsidP="00EE4F23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EE4F23">
        <w:rPr>
          <w:rFonts w:eastAsia="Arial" w:cs="Arial"/>
          <w:b/>
          <w:sz w:val="18"/>
          <w:szCs w:val="18"/>
        </w:rPr>
        <w:t>$2,300</w:t>
      </w:r>
    </w:p>
    <w:p w14:paraId="112984F9" w14:textId="77777777" w:rsidR="00EE4F23" w:rsidRPr="00841351" w:rsidRDefault="00EE4F23" w:rsidP="00EE4F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00DEF098" w14:textId="77777777" w:rsidR="00EE4F23" w:rsidRPr="00841351" w:rsidRDefault="00EE4F23" w:rsidP="00EE4F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36966860" w14:textId="1035B78B" w:rsidR="00EE4F23" w:rsidRPr="00EE4F23" w:rsidRDefault="00EE4F23" w:rsidP="002E6DD9">
      <w:pPr>
        <w:widowControl w:val="0"/>
        <w:rPr>
          <w:rFonts w:eastAsia="Times New Roman"/>
          <w:snapToGrid w:val="0"/>
          <w:sz w:val="18"/>
          <w:szCs w:val="18"/>
        </w:rPr>
      </w:pP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  <w:t>None</w:t>
      </w:r>
    </w:p>
    <w:bookmarkEnd w:id="6"/>
    <w:p w14:paraId="259EF2E4" w14:textId="77777777" w:rsidR="00EE4F23" w:rsidRDefault="00EE4F2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79776E15" w14:textId="77777777" w:rsidR="00EE4F23" w:rsidRDefault="00EE4F2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4BB04DC3" w14:textId="4F6D55E0" w:rsidR="00AE7BAF" w:rsidRPr="00AE7BAF" w:rsidRDefault="00AE7BAF" w:rsidP="00AE7BAF">
      <w:pPr>
        <w:pStyle w:val="ListParagraph"/>
        <w:widowControl w:val="0"/>
        <w:numPr>
          <w:ilvl w:val="0"/>
          <w:numId w:val="11"/>
        </w:numPr>
        <w:rPr>
          <w:rFonts w:eastAsia="Times New Roman"/>
          <w:b/>
          <w:bCs/>
          <w:snapToGrid w:val="0"/>
          <w:sz w:val="22"/>
        </w:rPr>
      </w:pPr>
      <w:bookmarkStart w:id="7" w:name="_Hlk171494296"/>
      <w:bookmarkStart w:id="8" w:name="_Hlk171678555"/>
      <w:r w:rsidRPr="00AE7BAF">
        <w:rPr>
          <w:rFonts w:eastAsia="Times New Roman"/>
          <w:b/>
          <w:bCs/>
          <w:snapToGrid w:val="0"/>
          <w:sz w:val="22"/>
        </w:rPr>
        <w:t>Richard Neighbors</w:t>
      </w:r>
      <w:bookmarkEnd w:id="7"/>
      <w:r w:rsidRPr="00AE7BAF">
        <w:rPr>
          <w:rFonts w:eastAsia="Times New Roman"/>
          <w:b/>
          <w:bCs/>
          <w:snapToGrid w:val="0"/>
          <w:sz w:val="22"/>
        </w:rPr>
        <w:t xml:space="preserve"> </w:t>
      </w:r>
      <w:r w:rsidRPr="00AE7BAF">
        <w:rPr>
          <w:sz w:val="22"/>
        </w:rPr>
        <w:t>[ESC-24-13] at 0 103</w:t>
      </w:r>
      <w:r w:rsidRPr="00AE7BAF">
        <w:rPr>
          <w:sz w:val="22"/>
          <w:vertAlign w:val="superscript"/>
        </w:rPr>
        <w:t>rd</w:t>
      </w:r>
      <w:r w:rsidRPr="00AE7BAF">
        <w:rPr>
          <w:sz w:val="22"/>
        </w:rPr>
        <w:t xml:space="preserve"> Street. Discharge of non-stormwater to City municipal separate storm sewer system (“MS4”); Failure to comply with erosion and sediment control requirements.</w:t>
      </w:r>
    </w:p>
    <w:p w14:paraId="7953D283" w14:textId="77777777" w:rsidR="00AE7BAF" w:rsidRDefault="00AE7BAF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29DF37D6" w14:textId="77777777" w:rsidR="00AE7BAF" w:rsidRPr="00841351" w:rsidRDefault="00AE7BAF" w:rsidP="00AE7BAF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18"/>
          <w:szCs w:val="18"/>
        </w:rPr>
        <w:id w:val="1994987414"/>
        <w:placeholder>
          <w:docPart w:val="3B6571E6D6D14A73A0D23B9A68D3BE14"/>
        </w:placeholder>
      </w:sdtPr>
      <w:sdtEndPr/>
      <w:sdtContent>
        <w:p w14:paraId="2271375F" w14:textId="77777777" w:rsidR="00AE7BAF" w:rsidRPr="00AE7BAF" w:rsidRDefault="00AE7BAF" w:rsidP="00AE7BAF">
          <w:pPr>
            <w:widowControl w:val="0"/>
            <w:ind w:left="2160"/>
            <w:jc w:val="both"/>
            <w:rPr>
              <w:rFonts w:eastAsia="Times New Roman"/>
              <w:bCs/>
              <w:snapToGrid w:val="0"/>
              <w:sz w:val="18"/>
              <w:szCs w:val="18"/>
              <w:u w:val="single"/>
            </w:rPr>
          </w:pPr>
          <w:r w:rsidRPr="00AE7BAF">
            <w:rPr>
              <w:rFonts w:eastAsia="Times New Roman"/>
              <w:bCs/>
              <w:snapToGrid w:val="0"/>
              <w:sz w:val="18"/>
              <w:szCs w:val="18"/>
            </w:rPr>
            <w:t>Conducted a complete site BMP assessment and completed the necessary maintenance, all erosion control measure will be inspected and replaced as necessary moving forward</w:t>
          </w:r>
        </w:p>
      </w:sdtContent>
    </w:sdt>
    <w:p w14:paraId="558509BB" w14:textId="77777777" w:rsidR="00AE7BAF" w:rsidRPr="00841351" w:rsidRDefault="00AE7BAF" w:rsidP="00AE7BAF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6BD31C87" w14:textId="77777777" w:rsidR="00AE7BAF" w:rsidRPr="00841351" w:rsidRDefault="00AE7BAF" w:rsidP="00AE7BAF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1CFA5FD4" w14:textId="0B73A2AB" w:rsidR="00AE7BAF" w:rsidRPr="00EE4F23" w:rsidRDefault="00AE7BAF" w:rsidP="00AE7BAF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EE4F23">
        <w:rPr>
          <w:rFonts w:eastAsia="Arial" w:cs="Arial"/>
          <w:b/>
          <w:sz w:val="18"/>
          <w:szCs w:val="18"/>
        </w:rPr>
        <w:t>$</w:t>
      </w:r>
      <w:r>
        <w:rPr>
          <w:rFonts w:eastAsia="Arial" w:cs="Arial"/>
          <w:b/>
          <w:sz w:val="18"/>
          <w:szCs w:val="18"/>
        </w:rPr>
        <w:t>3,5</w:t>
      </w:r>
      <w:r w:rsidRPr="00EE4F23">
        <w:rPr>
          <w:rFonts w:eastAsia="Arial" w:cs="Arial"/>
          <w:b/>
          <w:sz w:val="18"/>
          <w:szCs w:val="18"/>
        </w:rPr>
        <w:t>00</w:t>
      </w:r>
    </w:p>
    <w:p w14:paraId="4C3B1A5D" w14:textId="77777777" w:rsidR="00AE7BAF" w:rsidRPr="00841351" w:rsidRDefault="00AE7BAF" w:rsidP="00AE7BAF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126F2D2B" w14:textId="77777777" w:rsidR="00AE7BAF" w:rsidRPr="00841351" w:rsidRDefault="00AE7BAF" w:rsidP="00AE7BAF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4E2473C2" w14:textId="61DE604E" w:rsidR="00AE7BAF" w:rsidRPr="00EE4F23" w:rsidRDefault="00AE7BAF" w:rsidP="00AE7BAF">
      <w:pPr>
        <w:widowControl w:val="0"/>
        <w:rPr>
          <w:rFonts w:eastAsia="Times New Roman"/>
          <w:snapToGrid w:val="0"/>
          <w:sz w:val="18"/>
          <w:szCs w:val="18"/>
        </w:rPr>
      </w:pP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>
        <w:rPr>
          <w:rFonts w:eastAsia="Times New Roman"/>
          <w:snapToGrid w:val="0"/>
          <w:sz w:val="18"/>
          <w:szCs w:val="18"/>
        </w:rPr>
        <w:t>Penalty only</w:t>
      </w:r>
    </w:p>
    <w:bookmarkEnd w:id="8"/>
    <w:p w14:paraId="2264EFB7" w14:textId="77777777" w:rsidR="00AE7BAF" w:rsidRDefault="00AE7BAF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7B3557BF" w14:textId="77777777" w:rsidR="00BB5723" w:rsidRPr="00BB5723" w:rsidRDefault="00BB5723" w:rsidP="00BB5723">
      <w:pPr>
        <w:pStyle w:val="ListParagraph"/>
        <w:widowControl w:val="0"/>
        <w:numPr>
          <w:ilvl w:val="0"/>
          <w:numId w:val="11"/>
        </w:numPr>
        <w:rPr>
          <w:rFonts w:eastAsia="Arial" w:cs="Arial"/>
          <w:sz w:val="22"/>
        </w:rPr>
      </w:pPr>
      <w:bookmarkStart w:id="9" w:name="_Hlk171670035"/>
      <w:proofErr w:type="spellStart"/>
      <w:r w:rsidRPr="00BB5723">
        <w:rPr>
          <w:rFonts w:eastAsia="Times New Roman" w:cs="Arial"/>
          <w:b/>
          <w:bCs/>
          <w:snapToGrid w:val="0"/>
          <w:sz w:val="22"/>
        </w:rPr>
        <w:lastRenderedPageBreak/>
        <w:t>Segavepo</w:t>
      </w:r>
      <w:proofErr w:type="spellEnd"/>
      <w:r w:rsidRPr="00BB5723">
        <w:rPr>
          <w:rFonts w:eastAsia="Times New Roman" w:cs="Arial"/>
          <w:b/>
          <w:bCs/>
          <w:snapToGrid w:val="0"/>
          <w:sz w:val="22"/>
        </w:rPr>
        <w:t xml:space="preserve"> LLC</w:t>
      </w:r>
      <w:bookmarkEnd w:id="9"/>
      <w:r w:rsidRPr="00BB5723">
        <w:rPr>
          <w:rFonts w:eastAsia="Times New Roman" w:cs="Arial"/>
          <w:snapToGrid w:val="0"/>
          <w:sz w:val="22"/>
        </w:rPr>
        <w:t xml:space="preserve"> </w:t>
      </w:r>
      <w:r w:rsidRPr="00BB5723">
        <w:rPr>
          <w:rFonts w:eastAsia="Arial" w:cs="Arial"/>
          <w:b/>
          <w:bCs/>
          <w:i/>
          <w:iCs/>
          <w:color w:val="000000"/>
          <w:kern w:val="2"/>
          <w:sz w:val="22"/>
          <w14:ligatures w14:val="standardContextual"/>
        </w:rPr>
        <w:t xml:space="preserve"> </w:t>
      </w:r>
      <w:r w:rsidRPr="00BB5723">
        <w:rPr>
          <w:rFonts w:eastAsia="Calibri" w:cs="Arial"/>
          <w:i/>
          <w:iCs/>
          <w:kern w:val="2"/>
          <w:sz w:val="22"/>
          <w14:ligatures w14:val="standardContextual"/>
        </w:rPr>
        <w:t xml:space="preserve">[WP-24-21] at 5319 Woodcrest Road.  </w:t>
      </w:r>
      <w:r w:rsidRPr="00BB5723">
        <w:rPr>
          <w:rFonts w:eastAsia="Arial" w:cs="Arial"/>
          <w:sz w:val="22"/>
        </w:rPr>
        <w:t>Discharge of untreated wastewater to the ground, surrounding environment and stormwater system; and Failure to notify EQD of Discharge from the System and Failure to provide required records.</w:t>
      </w:r>
    </w:p>
    <w:p w14:paraId="2BE2F697" w14:textId="77777777" w:rsidR="00BB5723" w:rsidRDefault="00BB5723" w:rsidP="00BB5723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3D1AC956" w14:textId="77777777" w:rsidR="00BB5723" w:rsidRPr="00841351" w:rsidRDefault="00BB5723" w:rsidP="00BB57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18"/>
          <w:szCs w:val="18"/>
        </w:rPr>
        <w:id w:val="-1640406831"/>
        <w:placeholder>
          <w:docPart w:val="2A95681B76FB4946BFD20AAD11707AFD"/>
        </w:placeholder>
      </w:sdtPr>
      <w:sdtContent>
        <w:p w14:paraId="47AAB0D9" w14:textId="404A7C13" w:rsidR="00BB5723" w:rsidRPr="00AE7BAF" w:rsidRDefault="00BB5723" w:rsidP="00BB5723">
          <w:pPr>
            <w:widowControl w:val="0"/>
            <w:ind w:left="2160"/>
            <w:jc w:val="both"/>
            <w:rPr>
              <w:rFonts w:eastAsia="Times New Roman"/>
              <w:bCs/>
              <w:snapToGrid w:val="0"/>
              <w:sz w:val="18"/>
              <w:szCs w:val="18"/>
              <w:u w:val="single"/>
            </w:rPr>
          </w:pPr>
          <w:r>
            <w:rPr>
              <w:rFonts w:eastAsia="Times New Roman"/>
              <w:bCs/>
              <w:snapToGrid w:val="0"/>
              <w:sz w:val="18"/>
              <w:szCs w:val="18"/>
            </w:rPr>
            <w:t>Replace plumbing system</w:t>
          </w:r>
        </w:p>
      </w:sdtContent>
    </w:sdt>
    <w:p w14:paraId="7A4F4F0B" w14:textId="77777777" w:rsidR="00BB5723" w:rsidRPr="00841351" w:rsidRDefault="00BB5723" w:rsidP="00BB5723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4F984D82" w14:textId="77777777" w:rsidR="00BB5723" w:rsidRPr="00841351" w:rsidRDefault="00BB5723" w:rsidP="00BB57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20E25F73" w14:textId="463DCEEB" w:rsidR="00BB5723" w:rsidRPr="00EE4F23" w:rsidRDefault="00BB5723" w:rsidP="00BB5723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EE4F23">
        <w:rPr>
          <w:rFonts w:eastAsia="Arial" w:cs="Arial"/>
          <w:b/>
          <w:sz w:val="18"/>
          <w:szCs w:val="18"/>
        </w:rPr>
        <w:t>$</w:t>
      </w:r>
      <w:r>
        <w:rPr>
          <w:rFonts w:eastAsia="Arial" w:cs="Arial"/>
          <w:b/>
          <w:sz w:val="18"/>
          <w:szCs w:val="18"/>
        </w:rPr>
        <w:t>1,000</w:t>
      </w:r>
    </w:p>
    <w:p w14:paraId="277495D9" w14:textId="77777777" w:rsidR="00BB5723" w:rsidRPr="00841351" w:rsidRDefault="00BB5723" w:rsidP="00BB57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3EA55BDB" w14:textId="77777777" w:rsidR="00BB5723" w:rsidRPr="00841351" w:rsidRDefault="00BB5723" w:rsidP="00BB5723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68C1B8F9" w14:textId="77777777" w:rsidR="00BB5723" w:rsidRPr="00EE4F23" w:rsidRDefault="00BB5723" w:rsidP="00BB5723">
      <w:pPr>
        <w:widowControl w:val="0"/>
        <w:rPr>
          <w:rFonts w:eastAsia="Times New Roman"/>
          <w:snapToGrid w:val="0"/>
          <w:sz w:val="18"/>
          <w:szCs w:val="18"/>
        </w:rPr>
      </w:pP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>
        <w:rPr>
          <w:rFonts w:eastAsia="Times New Roman"/>
          <w:snapToGrid w:val="0"/>
          <w:sz w:val="18"/>
          <w:szCs w:val="18"/>
        </w:rPr>
        <w:t>Penalty only</w:t>
      </w:r>
    </w:p>
    <w:p w14:paraId="7C72C581" w14:textId="77777777" w:rsidR="00BB5723" w:rsidRDefault="00BB572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bookmarkEnd w:id="5"/>
    <w:p w14:paraId="433D75C5" w14:textId="77777777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27DBCD00" w14:textId="77777777" w:rsidR="002E6DD9" w:rsidRDefault="002E6DD9" w:rsidP="002E6DD9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365448F3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5A7F64D9" w14:textId="77777777" w:rsidR="002E6DD9" w:rsidRPr="00EF6F8F" w:rsidRDefault="002E6DD9" w:rsidP="002E6DD9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644CB91D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E667708" w14:textId="4734F2BF" w:rsidR="002E6DD9" w:rsidRDefault="002E6DD9" w:rsidP="00ED6EC6">
      <w:pPr>
        <w:numPr>
          <w:ilvl w:val="1"/>
          <w:numId w:val="7"/>
        </w:numPr>
        <w:ind w:left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Noise Variance Request – </w:t>
      </w:r>
      <w:r w:rsidR="00EE4F23">
        <w:rPr>
          <w:rFonts w:ascii="Century Gothic" w:hAnsi="Century Gothic"/>
          <w:sz w:val="22"/>
        </w:rPr>
        <w:t>Auld &amp; White</w:t>
      </w:r>
    </w:p>
    <w:p w14:paraId="64609ACC" w14:textId="77777777" w:rsidR="002E6DD9" w:rsidRDefault="002E6DD9" w:rsidP="002E6DD9">
      <w:pPr>
        <w:ind w:left="810"/>
        <w:rPr>
          <w:rFonts w:ascii="Century Gothic" w:hAnsi="Century Gothic"/>
          <w:sz w:val="22"/>
        </w:rPr>
      </w:pPr>
    </w:p>
    <w:p w14:paraId="691F71F4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7663826B" w14:textId="52E0C474" w:rsidR="002E6DD9" w:rsidRDefault="00EE4F23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10" w:name="_Hlk158819444"/>
      <w:r>
        <w:rPr>
          <w:rFonts w:ascii="Century Gothic" w:hAnsi="Century Gothic"/>
          <w:sz w:val="22"/>
        </w:rPr>
        <w:t>None</w:t>
      </w:r>
    </w:p>
    <w:p w14:paraId="12B90391" w14:textId="77777777" w:rsidR="005C2166" w:rsidRPr="00EF6F8F" w:rsidRDefault="005C2166" w:rsidP="005C2166">
      <w:pPr>
        <w:ind w:left="720"/>
        <w:rPr>
          <w:rFonts w:ascii="Century Gothic" w:hAnsi="Century Gothic"/>
          <w:sz w:val="22"/>
        </w:rPr>
      </w:pPr>
    </w:p>
    <w:bookmarkEnd w:id="10"/>
    <w:p w14:paraId="628F2879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29108F7D" w14:textId="77777777" w:rsidR="002E6DD9" w:rsidRPr="00EF6F8F" w:rsidRDefault="002E6DD9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7B5D669A" w14:textId="13DD71C8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49362AFD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3E1C0E4B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555D19AD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6FAEF82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26730F7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72528AA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5795D2D4" w14:textId="77777777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29C5FD63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2B9687CC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48E465DD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D24B76F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1DF7448D" w14:textId="77777777" w:rsidR="00ED6EC6" w:rsidRDefault="00ED6EC6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DE2F831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47583FD3" w14:textId="508F1352" w:rsidR="002E6DD9" w:rsidRPr="00BD22ED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D26C5C">
        <w:rPr>
          <w:rFonts w:ascii="Century Gothic" w:hAnsi="Century Gothic" w:cs="Century Gothic"/>
          <w:sz w:val="22"/>
        </w:rPr>
        <w:t>August 12</w:t>
      </w:r>
      <w:r>
        <w:rPr>
          <w:rFonts w:ascii="Century Gothic" w:hAnsi="Century Gothic" w:cs="Century Gothic"/>
          <w:sz w:val="22"/>
        </w:rPr>
        <w:t>, 2024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1F955B32" w14:textId="323ADBF8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 xml:space="preserve">Monday, </w:t>
      </w:r>
      <w:r w:rsidR="00D26C5C">
        <w:rPr>
          <w:rFonts w:ascii="Century Gothic" w:hAnsi="Century Gothic" w:cs="Century Gothic"/>
          <w:sz w:val="22"/>
        </w:rPr>
        <w:t>August 19</w:t>
      </w:r>
      <w:r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3FD842F7" w14:textId="77777777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72B1DFC0" w14:textId="1A8F170C" w:rsidR="00D26C5C" w:rsidRDefault="00D26C5C" w:rsidP="00D26C5C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Water Committee – Monday, </w:t>
      </w:r>
      <w:r w:rsidR="00E51B29">
        <w:rPr>
          <w:rFonts w:ascii="Century Gothic" w:hAnsi="Century Gothic" w:cs="Century Gothic"/>
          <w:sz w:val="22"/>
        </w:rPr>
        <w:t>September 23</w:t>
      </w:r>
      <w:r>
        <w:rPr>
          <w:rFonts w:ascii="Century Gothic" w:hAnsi="Century Gothic" w:cs="Century Gothic"/>
          <w:sz w:val="22"/>
        </w:rPr>
        <w:t>, 2024, at 4:30 pm</w:t>
      </w:r>
    </w:p>
    <w:p w14:paraId="668DC13D" w14:textId="400BF97B" w:rsidR="002E6DD9" w:rsidRPr="00F53364" w:rsidRDefault="002E6DD9" w:rsidP="002E6DD9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Monday, </w:t>
      </w:r>
      <w:r w:rsidR="00D26C5C">
        <w:rPr>
          <w:rFonts w:ascii="Century Gothic" w:hAnsi="Century Gothic" w:cs="Century Gothic"/>
          <w:sz w:val="22"/>
        </w:rPr>
        <w:t>September 23</w:t>
      </w:r>
      <w:r>
        <w:rPr>
          <w:rFonts w:ascii="Century Gothic" w:hAnsi="Century Gothic" w:cs="Century Gothic"/>
          <w:sz w:val="22"/>
        </w:rPr>
        <w:t xml:space="preserve">, 2024, at </w:t>
      </w:r>
      <w:r w:rsidR="00E51B29">
        <w:rPr>
          <w:rFonts w:ascii="Century Gothic" w:hAnsi="Century Gothic" w:cs="Century Gothic"/>
          <w:sz w:val="22"/>
        </w:rPr>
        <w:t>5</w:t>
      </w:r>
      <w:r>
        <w:rPr>
          <w:rFonts w:ascii="Century Gothic" w:hAnsi="Century Gothic" w:cs="Century Gothic"/>
          <w:sz w:val="22"/>
        </w:rPr>
        <w:t>:30 pm</w:t>
      </w:r>
    </w:p>
    <w:p w14:paraId="65505516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492DDD0D" w14:textId="18856A98" w:rsidR="002E6DD9" w:rsidRPr="00E257B3" w:rsidRDefault="002E6DD9" w:rsidP="00BB5723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736"/>
      <w:gridCol w:w="5814"/>
      <w:gridCol w:w="2340"/>
    </w:tblGrid>
    <w:tr w:rsidR="00683D3D" w14:paraId="76CAA857" w14:textId="77777777" w:rsidTr="008B03E0">
      <w:trPr>
        <w:trHeight w:val="2790"/>
        <w:tblHeader/>
      </w:trPr>
      <w:tc>
        <w:tcPr>
          <w:tcW w:w="2736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4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7860FD4F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LMHC,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517AC6">
            <w:rPr>
              <w:color w:val="1F497D" w:themeColor="text2"/>
              <w:sz w:val="16"/>
              <w:szCs w:val="16"/>
            </w:rPr>
            <w:t xml:space="preserve">    </w:t>
          </w:r>
          <w:r w:rsidR="008B03E0">
            <w:rPr>
              <w:color w:val="1F497D" w:themeColor="text2"/>
              <w:sz w:val="16"/>
              <w:szCs w:val="16"/>
            </w:rPr>
            <w:t xml:space="preserve">            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A231A8">
            <w:rPr>
              <w:color w:val="1F497D" w:themeColor="text2"/>
              <w:sz w:val="16"/>
              <w:szCs w:val="16"/>
            </w:rPr>
            <w:t xml:space="preserve">Margarete Vest, P.E. </w:t>
          </w:r>
          <w:r w:rsidR="00B25551">
            <w:rPr>
              <w:color w:val="1F497D" w:themeColor="text2"/>
              <w:sz w:val="16"/>
              <w:szCs w:val="16"/>
            </w:rPr>
            <w:t xml:space="preserve">David </w:t>
          </w:r>
          <w:r w:rsidR="008B03E0">
            <w:rPr>
              <w:color w:val="1F497D" w:themeColor="text2"/>
              <w:sz w:val="16"/>
              <w:szCs w:val="16"/>
            </w:rPr>
            <w:t>W</w:t>
          </w:r>
          <w:r w:rsidR="00B25551">
            <w:rPr>
              <w:color w:val="1F497D" w:themeColor="text2"/>
              <w:sz w:val="16"/>
              <w:szCs w:val="16"/>
            </w:rPr>
            <w:t>ood</w:t>
          </w:r>
        </w:p>
      </w:tc>
      <w:tc>
        <w:tcPr>
          <w:tcW w:w="234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55CF61B0" w:rsidR="00AA7533" w:rsidRDefault="00AA7533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3BF788B4" w14:textId="77777777" w:rsidR="00A231A8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15477758" w:rsidR="000B378F" w:rsidRDefault="00A231A8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24C124BC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0D45A08B" w14:textId="636120AC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A231A8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23300BA5" w:rsidR="00A231A8" w:rsidRPr="00EC3733" w:rsidRDefault="00A231A8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14AF"/>
    <w:multiLevelType w:val="hybridMultilevel"/>
    <w:tmpl w:val="210E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D1DAA"/>
    <w:multiLevelType w:val="hybridMultilevel"/>
    <w:tmpl w:val="065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C4DF3"/>
    <w:multiLevelType w:val="hybridMultilevel"/>
    <w:tmpl w:val="8D08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4"/>
  </w:num>
  <w:num w:numId="3" w16cid:durableId="1314215821">
    <w:abstractNumId w:val="1"/>
  </w:num>
  <w:num w:numId="4" w16cid:durableId="1893926941">
    <w:abstractNumId w:val="6"/>
  </w:num>
  <w:num w:numId="5" w16cid:durableId="1683168007">
    <w:abstractNumId w:val="10"/>
  </w:num>
  <w:num w:numId="6" w16cid:durableId="246572459">
    <w:abstractNumId w:val="3"/>
  </w:num>
  <w:num w:numId="7" w16cid:durableId="1184174610">
    <w:abstractNumId w:val="5"/>
  </w:num>
  <w:num w:numId="8" w16cid:durableId="524369335">
    <w:abstractNumId w:val="0"/>
  </w:num>
  <w:num w:numId="9" w16cid:durableId="1920095977">
    <w:abstractNumId w:val="8"/>
  </w:num>
  <w:num w:numId="10" w16cid:durableId="91291733">
    <w:abstractNumId w:val="7"/>
  </w:num>
  <w:num w:numId="11" w16cid:durableId="1158883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104363"/>
    <w:rsid w:val="00154FD3"/>
    <w:rsid w:val="00182EE2"/>
    <w:rsid w:val="001C68D0"/>
    <w:rsid w:val="001E7050"/>
    <w:rsid w:val="002021ED"/>
    <w:rsid w:val="00211C95"/>
    <w:rsid w:val="00276DF2"/>
    <w:rsid w:val="002B2EF8"/>
    <w:rsid w:val="002E2051"/>
    <w:rsid w:val="002E6DD9"/>
    <w:rsid w:val="00323D40"/>
    <w:rsid w:val="003355F7"/>
    <w:rsid w:val="00394A11"/>
    <w:rsid w:val="003B27A4"/>
    <w:rsid w:val="00414677"/>
    <w:rsid w:val="00453F81"/>
    <w:rsid w:val="00487293"/>
    <w:rsid w:val="004946C2"/>
    <w:rsid w:val="00497E01"/>
    <w:rsid w:val="004D2F67"/>
    <w:rsid w:val="004E0937"/>
    <w:rsid w:val="004E50A5"/>
    <w:rsid w:val="0050164B"/>
    <w:rsid w:val="0050363F"/>
    <w:rsid w:val="00517AC6"/>
    <w:rsid w:val="00584588"/>
    <w:rsid w:val="005960BE"/>
    <w:rsid w:val="005C2166"/>
    <w:rsid w:val="0060094D"/>
    <w:rsid w:val="00602048"/>
    <w:rsid w:val="00633A09"/>
    <w:rsid w:val="00643CA9"/>
    <w:rsid w:val="006826BB"/>
    <w:rsid w:val="00683D3D"/>
    <w:rsid w:val="006F3EF1"/>
    <w:rsid w:val="006F6832"/>
    <w:rsid w:val="00762556"/>
    <w:rsid w:val="00786F2A"/>
    <w:rsid w:val="007D1C67"/>
    <w:rsid w:val="008017C6"/>
    <w:rsid w:val="00841351"/>
    <w:rsid w:val="008A4B6B"/>
    <w:rsid w:val="008B03E0"/>
    <w:rsid w:val="008E60E9"/>
    <w:rsid w:val="009558A6"/>
    <w:rsid w:val="00970DA0"/>
    <w:rsid w:val="009A2161"/>
    <w:rsid w:val="009E55F1"/>
    <w:rsid w:val="00A231A8"/>
    <w:rsid w:val="00A439F0"/>
    <w:rsid w:val="00A77E44"/>
    <w:rsid w:val="00A94C57"/>
    <w:rsid w:val="00AA7533"/>
    <w:rsid w:val="00AC3542"/>
    <w:rsid w:val="00AD5582"/>
    <w:rsid w:val="00AE7BAF"/>
    <w:rsid w:val="00B25551"/>
    <w:rsid w:val="00B479B2"/>
    <w:rsid w:val="00BB5723"/>
    <w:rsid w:val="00BB5C12"/>
    <w:rsid w:val="00C038F6"/>
    <w:rsid w:val="00C31DC7"/>
    <w:rsid w:val="00C41B56"/>
    <w:rsid w:val="00CA2D70"/>
    <w:rsid w:val="00CF1E4D"/>
    <w:rsid w:val="00CF5FAD"/>
    <w:rsid w:val="00D03439"/>
    <w:rsid w:val="00D26C5C"/>
    <w:rsid w:val="00D26FB5"/>
    <w:rsid w:val="00D709DF"/>
    <w:rsid w:val="00E00894"/>
    <w:rsid w:val="00E257B3"/>
    <w:rsid w:val="00E26100"/>
    <w:rsid w:val="00E51B29"/>
    <w:rsid w:val="00E635CA"/>
    <w:rsid w:val="00E6361D"/>
    <w:rsid w:val="00ED6EC6"/>
    <w:rsid w:val="00EE4F23"/>
    <w:rsid w:val="00EF17DF"/>
    <w:rsid w:val="00F1466D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B3C49F0E3044EBBD47E051A7EB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AB99-AF13-4C93-B3E2-03A4BA193F63}"/>
      </w:docPartPr>
      <w:docPartBody>
        <w:p w:rsidR="008C04A6" w:rsidRDefault="008C04A6" w:rsidP="008C04A6">
          <w:pPr>
            <w:pStyle w:val="8DB3C49F0E3044EBBD47E051A7EB28F5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2B77F605D16E475EA5601088DAFEC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EF29-648B-4CED-AE61-0E45184C6361}"/>
      </w:docPartPr>
      <w:docPartBody>
        <w:p w:rsidR="008C04A6" w:rsidRDefault="008C04A6" w:rsidP="008C04A6">
          <w:pPr>
            <w:pStyle w:val="2B77F605D16E475EA5601088DAFECE16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B23BE0A1058E4070834071F9CA86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CFB1-D5D7-4B6B-92CF-BA75AD0EBCB1}"/>
      </w:docPartPr>
      <w:docPartBody>
        <w:p w:rsidR="008C04A6" w:rsidRDefault="008C04A6" w:rsidP="008C04A6">
          <w:pPr>
            <w:pStyle w:val="B23BE0A1058E4070834071F9CA867B14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3B6571E6D6D14A73A0D23B9A68D3B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52E9-5642-4BC2-943E-1C39CC00B54E}"/>
      </w:docPartPr>
      <w:docPartBody>
        <w:p w:rsidR="00E41900" w:rsidRDefault="00E41900" w:rsidP="00E41900">
          <w:pPr>
            <w:pStyle w:val="3B6571E6D6D14A73A0D23B9A68D3BE14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2A95681B76FB4946BFD20AAD1170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6124-E9E0-4E32-87A6-BCFEFC3EF596}"/>
      </w:docPartPr>
      <w:docPartBody>
        <w:p w:rsidR="00BD3524" w:rsidRDefault="00BD3524" w:rsidP="00BD3524">
          <w:pPr>
            <w:pStyle w:val="2A95681B76FB4946BFD20AAD11707AFD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DF"/>
    <w:rsid w:val="00276DF2"/>
    <w:rsid w:val="00414677"/>
    <w:rsid w:val="004479DF"/>
    <w:rsid w:val="004E0937"/>
    <w:rsid w:val="004E50A5"/>
    <w:rsid w:val="00633A09"/>
    <w:rsid w:val="00643CA9"/>
    <w:rsid w:val="006F6832"/>
    <w:rsid w:val="008C04A6"/>
    <w:rsid w:val="009558A6"/>
    <w:rsid w:val="00BD3524"/>
    <w:rsid w:val="00E00894"/>
    <w:rsid w:val="00E4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524"/>
    <w:rPr>
      <w:color w:val="808080"/>
    </w:rPr>
  </w:style>
  <w:style w:type="paragraph" w:customStyle="1" w:styleId="8DB3C49F0E3044EBBD47E051A7EB28F5">
    <w:name w:val="8DB3C49F0E3044EBBD47E051A7EB28F5"/>
    <w:rsid w:val="008C04A6"/>
  </w:style>
  <w:style w:type="paragraph" w:customStyle="1" w:styleId="2B77F605D16E475EA5601088DAFECE16">
    <w:name w:val="2B77F605D16E475EA5601088DAFECE16"/>
    <w:rsid w:val="008C04A6"/>
  </w:style>
  <w:style w:type="paragraph" w:customStyle="1" w:styleId="B23BE0A1058E4070834071F9CA867B14">
    <w:name w:val="B23BE0A1058E4070834071F9CA867B14"/>
    <w:rsid w:val="008C04A6"/>
  </w:style>
  <w:style w:type="paragraph" w:customStyle="1" w:styleId="2A95681B76FB4946BFD20AAD11707AFD">
    <w:name w:val="2A95681B76FB4946BFD20AAD11707AFD"/>
    <w:rsid w:val="00BD3524"/>
  </w:style>
  <w:style w:type="paragraph" w:customStyle="1" w:styleId="3B6571E6D6D14A73A0D23B9A68D3BE14">
    <w:name w:val="3B6571E6D6D14A73A0D23B9A68D3BE14"/>
    <w:rsid w:val="00E41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2</cp:revision>
  <cp:lastPrinted>2022-07-29T15:38:00Z</cp:lastPrinted>
  <dcterms:created xsi:type="dcterms:W3CDTF">2024-07-12T16:11:00Z</dcterms:created>
  <dcterms:modified xsi:type="dcterms:W3CDTF">2024-07-12T16:11:00Z</dcterms:modified>
</cp:coreProperties>
</file>