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6C5FC8DC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31A98E11" w14:textId="3E2D35E6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294584">
        <w:rPr>
          <w:rFonts w:ascii="Century Gothic" w:hAnsi="Century Gothic" w:cs="Century Gothic"/>
          <w:b/>
          <w:color w:val="00B050"/>
          <w:sz w:val="28"/>
          <w:szCs w:val="28"/>
        </w:rPr>
        <w:t>October 23</w:t>
      </w:r>
      <w:r w:rsidRPr="00031791">
        <w:rPr>
          <w:rFonts w:ascii="Century Gothic" w:hAnsi="Century Gothic" w:cs="Century Gothic"/>
          <w:b/>
          <w:color w:val="00B050"/>
          <w:sz w:val="28"/>
          <w:szCs w:val="28"/>
        </w:rPr>
        <w:t>, 2023</w:t>
      </w:r>
    </w:p>
    <w:p w14:paraId="50BBFC9D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56D6F617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</w:p>
    <w:p w14:paraId="0FABAF25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– Conference Room </w:t>
      </w:r>
      <w:r>
        <w:rPr>
          <w:rFonts w:ascii="Century Gothic" w:hAnsi="Century Gothic" w:cs="Century Gothic"/>
          <w:color w:val="00B050"/>
          <w:sz w:val="28"/>
          <w:szCs w:val="28"/>
        </w:rPr>
        <w:t>851</w:t>
      </w:r>
    </w:p>
    <w:p w14:paraId="486AC94D" w14:textId="77777777" w:rsidR="003A289F" w:rsidRPr="005A0EAC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43B964EA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BOARD MEETING AGENDA</w:t>
      </w:r>
    </w:p>
    <w:p w14:paraId="3A614BF6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1ABE5DF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DAVID WOOD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7A9E7D1E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2D32D153" w14:textId="77777777" w:rsidR="003A289F" w:rsidRDefault="003A289F" w:rsidP="003A289F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11952683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691CD1BE" w14:textId="18D29A54" w:rsidR="00294584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5B604F64" w14:textId="77777777" w:rsidR="00294584" w:rsidRPr="007C5EFB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21F31C66" w14:textId="62774AAD" w:rsidR="003A289F" w:rsidRPr="00054AFF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3A289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695405D" w14:textId="77777777" w:rsidR="003A289F" w:rsidRDefault="003A289F" w:rsidP="003A289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August 21, 2023</w:t>
      </w:r>
      <w:r w:rsidRPr="008D3936">
        <w:rPr>
          <w:rFonts w:ascii="Century Gothic" w:hAnsi="Century Gothic"/>
          <w:bCs/>
          <w:sz w:val="22"/>
        </w:rPr>
        <w:t>, Monthly Meeting</w:t>
      </w:r>
      <w:r>
        <w:rPr>
          <w:rFonts w:ascii="Century Gothic" w:hAnsi="Century Gothic"/>
          <w:bCs/>
          <w:sz w:val="22"/>
        </w:rPr>
        <w:t xml:space="preserve"> Summary</w:t>
      </w:r>
    </w:p>
    <w:p w14:paraId="26D2D1F4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0CD50E4" w14:textId="4A273F4E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5FA4E6BC" w14:textId="77777777" w:rsidR="003A289F" w:rsidRDefault="003A289F" w:rsidP="003A289F">
      <w:pPr>
        <w:ind w:left="90" w:firstLine="720"/>
        <w:rPr>
          <w:b/>
          <w:sz w:val="22"/>
        </w:rPr>
      </w:pPr>
      <w:bookmarkStart w:id="1" w:name="_Hlk105675301"/>
      <w:r w:rsidRPr="00E46A53">
        <w:rPr>
          <w:b/>
          <w:sz w:val="22"/>
          <w:u w:val="single"/>
        </w:rPr>
        <w:t>Air</w:t>
      </w:r>
      <w:r w:rsidRPr="00E46A53">
        <w:rPr>
          <w:b/>
          <w:sz w:val="22"/>
        </w:rPr>
        <w:t xml:space="preserve">  </w:t>
      </w:r>
    </w:p>
    <w:p w14:paraId="39EE1170" w14:textId="77777777" w:rsidR="00294584" w:rsidRPr="00294584" w:rsidRDefault="00294584" w:rsidP="00294584">
      <w:pPr>
        <w:pStyle w:val="ListParagraph"/>
        <w:widowControl w:val="0"/>
        <w:numPr>
          <w:ilvl w:val="0"/>
          <w:numId w:val="5"/>
        </w:numPr>
        <w:ind w:left="1440"/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b/>
          <w:bCs/>
          <w:snapToGrid w:val="0"/>
          <w:sz w:val="20"/>
          <w:szCs w:val="20"/>
        </w:rPr>
        <w:t>HM Southeast Cement LLC,</w:t>
      </w:r>
      <w:r w:rsidRPr="00294584">
        <w:rPr>
          <w:rFonts w:eastAsia="Times New Roman" w:cs="Arial"/>
          <w:snapToGrid w:val="0"/>
          <w:sz w:val="20"/>
          <w:szCs w:val="20"/>
        </w:rPr>
        <w:t xml:space="preserve"> </w:t>
      </w:r>
      <w:r w:rsidRPr="00294584">
        <w:rPr>
          <w:rFonts w:eastAsia="Times New Roman" w:cs="Arial"/>
          <w:i/>
          <w:iCs/>
          <w:snapToGrid w:val="0"/>
          <w:sz w:val="20"/>
          <w:szCs w:val="20"/>
        </w:rPr>
        <w:t>[AP-23-07 at 1996 E. Beaver Street and 2041 E. Adams Street]</w:t>
      </w:r>
      <w:r w:rsidRPr="00294584">
        <w:rPr>
          <w:rFonts w:eastAsia="Times New Roman" w:cs="Arial"/>
          <w:snapToGrid w:val="0"/>
          <w:sz w:val="20"/>
          <w:szCs w:val="20"/>
        </w:rPr>
        <w:t xml:space="preserve"> Failure to submit application for transfer of permit within 30 days after the sale or legal transfer of a permitted facility.</w:t>
      </w:r>
    </w:p>
    <w:p w14:paraId="02AD82A1" w14:textId="77777777" w:rsidR="003A289F" w:rsidRDefault="003A289F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5C1025F4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  <w:u w:val="single"/>
        </w:rPr>
        <w:t>Corrective Actions:</w:t>
      </w:r>
    </w:p>
    <w:sdt>
      <w:sdtPr>
        <w:rPr>
          <w:rFonts w:eastAsia="Times New Roman" w:cs="Arial"/>
          <w:bCs/>
          <w:snapToGrid w:val="0"/>
          <w:sz w:val="20"/>
          <w:szCs w:val="20"/>
        </w:rPr>
        <w:id w:val="-1284116088"/>
        <w:placeholder>
          <w:docPart w:val="B6D36BAF91E44A519643A7C9C626FC92"/>
        </w:placeholder>
      </w:sdtPr>
      <w:sdtEndPr/>
      <w:sdtContent>
        <w:p w14:paraId="728CDF99" w14:textId="77777777" w:rsidR="00294584" w:rsidRPr="00294584" w:rsidRDefault="00294584" w:rsidP="00294584">
          <w:pPr>
            <w:widowControl w:val="0"/>
            <w:ind w:left="2160"/>
            <w:jc w:val="both"/>
            <w:rPr>
              <w:rFonts w:eastAsia="Times New Roman" w:cs="Arial"/>
              <w:bCs/>
              <w:snapToGrid w:val="0"/>
              <w:sz w:val="20"/>
              <w:szCs w:val="20"/>
            </w:rPr>
          </w:pPr>
          <w:r w:rsidRPr="00294584">
            <w:rPr>
              <w:rFonts w:eastAsia="Times New Roman" w:cs="Arial"/>
              <w:bCs/>
              <w:snapToGrid w:val="0"/>
              <w:sz w:val="20"/>
              <w:szCs w:val="20"/>
            </w:rPr>
            <w:t xml:space="preserve">Permit application </w:t>
          </w:r>
        </w:p>
      </w:sdtContent>
    </w:sdt>
    <w:p w14:paraId="216AE83F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  <w:u w:val="single"/>
        </w:rPr>
      </w:pPr>
    </w:p>
    <w:p w14:paraId="54D02A02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  <w:u w:val="single"/>
        </w:rPr>
      </w:pPr>
      <w:r w:rsidRPr="00294584">
        <w:rPr>
          <w:rFonts w:eastAsia="Times New Roman" w:cs="Arial"/>
          <w:snapToGrid w:val="0"/>
          <w:sz w:val="20"/>
          <w:szCs w:val="20"/>
          <w:u w:val="single"/>
        </w:rPr>
        <w:t xml:space="preserve">Consent Order settlement fee: </w:t>
      </w:r>
    </w:p>
    <w:p w14:paraId="50E866FE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</w:rPr>
        <w:t>$600</w:t>
      </w:r>
    </w:p>
    <w:p w14:paraId="7EC3F70F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</w:p>
    <w:p w14:paraId="3EEA0405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  <w:u w:val="single"/>
        </w:rPr>
        <w:t>Consent Order requirements</w:t>
      </w:r>
      <w:r w:rsidRPr="00294584">
        <w:rPr>
          <w:rFonts w:eastAsia="Times New Roman" w:cs="Arial"/>
          <w:snapToGrid w:val="0"/>
          <w:sz w:val="20"/>
          <w:szCs w:val="20"/>
        </w:rPr>
        <w:t>:</w:t>
      </w:r>
    </w:p>
    <w:p w14:paraId="32A8FA2D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</w:rPr>
        <w:t>Penalty only</w:t>
      </w:r>
    </w:p>
    <w:p w14:paraId="03C858E6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0758BEBE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6B53B484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30A6A7F0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0CC0AF13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177DD5F4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0DEE6F27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7C35FFE4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21CA68C1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20C107FA" w14:textId="77777777" w:rsidR="00294584" w:rsidRDefault="00294584" w:rsidP="003A289F">
      <w:pPr>
        <w:widowControl w:val="0"/>
        <w:spacing w:line="218" w:lineRule="auto"/>
        <w:jc w:val="both"/>
        <w:rPr>
          <w:bCs/>
          <w:sz w:val="22"/>
        </w:rPr>
      </w:pPr>
    </w:p>
    <w:p w14:paraId="5578FADB" w14:textId="77777777" w:rsidR="003A289F" w:rsidRDefault="003A289F" w:rsidP="003A289F">
      <w:pPr>
        <w:ind w:left="90" w:firstLine="720"/>
        <w:rPr>
          <w:b/>
          <w:sz w:val="22"/>
          <w:u w:val="single"/>
        </w:rPr>
      </w:pPr>
      <w:r w:rsidRPr="00E46A53">
        <w:rPr>
          <w:b/>
          <w:sz w:val="22"/>
          <w:u w:val="single"/>
        </w:rPr>
        <w:t>Water</w:t>
      </w:r>
    </w:p>
    <w:p w14:paraId="1D3C8F63" w14:textId="77777777" w:rsidR="003A289F" w:rsidRDefault="003A289F" w:rsidP="003A289F">
      <w:pPr>
        <w:ind w:left="90" w:firstLine="720"/>
        <w:rPr>
          <w:b/>
          <w:sz w:val="22"/>
          <w:u w:val="single"/>
        </w:rPr>
      </w:pPr>
    </w:p>
    <w:p w14:paraId="0C632590" w14:textId="77777777" w:rsidR="00294584" w:rsidRPr="00234B74" w:rsidRDefault="00294584" w:rsidP="00294584">
      <w:pPr>
        <w:pStyle w:val="ListParagraph"/>
        <w:numPr>
          <w:ilvl w:val="0"/>
          <w:numId w:val="12"/>
        </w:numPr>
        <w:ind w:left="1440"/>
        <w:rPr>
          <w:rFonts w:eastAsia="Times New Roman" w:cs="Arial"/>
          <w:snapToGrid w:val="0"/>
          <w:sz w:val="20"/>
          <w:szCs w:val="20"/>
        </w:rPr>
      </w:pPr>
      <w:bookmarkStart w:id="2" w:name="_Hlk144893170"/>
      <w:r w:rsidRPr="00234B74">
        <w:rPr>
          <w:rFonts w:eastAsia="Arial" w:cs="Arial"/>
          <w:b/>
          <w:bCs/>
          <w:snapToGrid w:val="0"/>
          <w:color w:val="000000" w:themeColor="text1"/>
          <w:sz w:val="20"/>
          <w:szCs w:val="20"/>
        </w:rPr>
        <w:t xml:space="preserve">Deerwood Place Master Association, Inc. </w:t>
      </w:r>
      <w:r w:rsidRPr="00234B74">
        <w:rPr>
          <w:rFonts w:eastAsia="Times New Roman" w:cs="Arial"/>
          <w:i/>
          <w:iCs/>
          <w:snapToGrid w:val="0"/>
          <w:sz w:val="20"/>
          <w:szCs w:val="20"/>
        </w:rPr>
        <w:t xml:space="preserve">[WP-23-57 at 4480 Deerwood Lake Parkway] </w:t>
      </w:r>
      <w:r w:rsidRPr="00234B74">
        <w:rPr>
          <w:rFonts w:eastAsia="Times New Roman" w:cs="Arial"/>
          <w:snapToGrid w:val="0"/>
          <w:sz w:val="20"/>
          <w:szCs w:val="20"/>
        </w:rPr>
        <w:t>Discharge of untreated wastewater to the ground, surrounding environment and surface waters; Failure to use the required form for maintenance; Failure to notify EQD of Discharge from the System; and Failure to provide required records.</w:t>
      </w:r>
    </w:p>
    <w:p w14:paraId="52A4CA8C" w14:textId="77777777" w:rsidR="00294584" w:rsidRDefault="00294584" w:rsidP="00294584">
      <w:pPr>
        <w:widowControl w:val="0"/>
        <w:jc w:val="both"/>
        <w:rPr>
          <w:rFonts w:eastAsia="Times New Roman" w:cs="Arial"/>
          <w:bCs/>
          <w:snapToGrid w:val="0"/>
          <w:sz w:val="20"/>
          <w:szCs w:val="20"/>
        </w:rPr>
      </w:pPr>
    </w:p>
    <w:p w14:paraId="16FB3068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 xml:space="preserve">Corrective Actions:  </w:t>
      </w:r>
      <w:sdt>
        <w:sdtPr>
          <w:rPr>
            <w:rFonts w:eastAsia="Times New Roman" w:cs="Arial"/>
            <w:b/>
            <w:bCs/>
            <w:snapToGrid w:val="0"/>
            <w:sz w:val="20"/>
            <w:szCs w:val="20"/>
          </w:rPr>
          <w:id w:val="-35578569"/>
          <w:placeholder>
            <w:docPart w:val="6BF739B64E104CB3B723B21387D72CB1"/>
          </w:placeholder>
        </w:sdtPr>
        <w:sdtEndPr>
          <w:rPr>
            <w:b w:val="0"/>
          </w:rPr>
        </w:sdtEndPr>
        <w:sdtContent>
          <w:r w:rsidRPr="00294584">
            <w:rPr>
              <w:rFonts w:eastAsia="Times New Roman" w:cs="Arial"/>
              <w:bCs/>
              <w:snapToGrid w:val="0"/>
              <w:sz w:val="20"/>
              <w:szCs w:val="20"/>
            </w:rPr>
            <w:t>unknown</w:t>
          </w:r>
        </w:sdtContent>
      </w:sdt>
    </w:p>
    <w:p w14:paraId="3D7CCD90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</w:p>
    <w:p w14:paraId="77E6E799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 xml:space="preserve">Consent Order settlement fee:  </w:t>
      </w:r>
      <w:r w:rsidRPr="00294584">
        <w:rPr>
          <w:rFonts w:eastAsia="Times New Roman" w:cs="Arial"/>
          <w:b/>
          <w:snapToGrid w:val="0"/>
          <w:sz w:val="20"/>
          <w:szCs w:val="20"/>
        </w:rPr>
        <w:t>$8,000</w:t>
      </w:r>
      <w:r w:rsidRPr="00294584">
        <w:rPr>
          <w:rFonts w:eastAsia="Times New Roman" w:cs="Arial"/>
          <w:bCs/>
          <w:snapToGrid w:val="0"/>
          <w:sz w:val="20"/>
          <w:szCs w:val="20"/>
        </w:rPr>
        <w:t xml:space="preserve"> with mitigation potential.</w:t>
      </w:r>
    </w:p>
    <w:p w14:paraId="704FD410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</w:p>
    <w:p w14:paraId="418750D7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  <w:u w:val="single"/>
        </w:rPr>
        <w:t>Consent Order requirements</w:t>
      </w:r>
      <w:r w:rsidRPr="00294584">
        <w:rPr>
          <w:rFonts w:eastAsia="Times New Roman" w:cs="Arial"/>
          <w:bCs/>
          <w:snapToGrid w:val="0"/>
          <w:sz w:val="20"/>
          <w:szCs w:val="20"/>
        </w:rPr>
        <w:t>:</w:t>
      </w:r>
    </w:p>
    <w:p w14:paraId="7F3518A6" w14:textId="77777777" w:rsidR="00294584" w:rsidRPr="00294584" w:rsidRDefault="00294584" w:rsidP="00294584">
      <w:pPr>
        <w:pStyle w:val="ListParagraph"/>
        <w:widowControl w:val="0"/>
        <w:numPr>
          <w:ilvl w:val="3"/>
          <w:numId w:val="12"/>
        </w:numPr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>Initial Engineer review within 60 days.</w:t>
      </w:r>
    </w:p>
    <w:p w14:paraId="32FFA2A0" w14:textId="77777777" w:rsidR="00294584" w:rsidRPr="00294584" w:rsidRDefault="00294584" w:rsidP="00294584">
      <w:pPr>
        <w:pStyle w:val="ListParagraph"/>
        <w:widowControl w:val="0"/>
        <w:numPr>
          <w:ilvl w:val="3"/>
          <w:numId w:val="12"/>
        </w:numPr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>Final Engineer report within 120 days or deadline established in report.</w:t>
      </w:r>
    </w:p>
    <w:p w14:paraId="140E9398" w14:textId="77777777" w:rsidR="00294584" w:rsidRPr="00294584" w:rsidRDefault="00294584" w:rsidP="00294584">
      <w:pPr>
        <w:pStyle w:val="ListParagraph"/>
        <w:widowControl w:val="0"/>
        <w:numPr>
          <w:ilvl w:val="3"/>
          <w:numId w:val="12"/>
        </w:numPr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>Submit Monthly Status Reports starting in October.</w:t>
      </w:r>
    </w:p>
    <w:p w14:paraId="0E40DBEE" w14:textId="77777777" w:rsidR="00294584" w:rsidRPr="00294584" w:rsidRDefault="00294584" w:rsidP="00294584">
      <w:pPr>
        <w:pStyle w:val="ListParagraph"/>
        <w:widowControl w:val="0"/>
        <w:numPr>
          <w:ilvl w:val="3"/>
          <w:numId w:val="12"/>
        </w:numPr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>Submit Monthly Maintenance Reports starting in October.</w:t>
      </w:r>
    </w:p>
    <w:p w14:paraId="52D19C9B" w14:textId="77777777" w:rsidR="003A289F" w:rsidRDefault="003A289F" w:rsidP="003A289F">
      <w:pPr>
        <w:widowControl w:val="0"/>
        <w:jc w:val="both"/>
        <w:rPr>
          <w:rFonts w:eastAsia="Times New Roman" w:cs="Arial"/>
          <w:bCs/>
          <w:snapToGrid w:val="0"/>
          <w:sz w:val="17"/>
          <w:szCs w:val="17"/>
        </w:rPr>
      </w:pPr>
    </w:p>
    <w:p w14:paraId="332C5ED2" w14:textId="77777777" w:rsidR="00294584" w:rsidRDefault="00294584" w:rsidP="003A289F">
      <w:pPr>
        <w:widowControl w:val="0"/>
        <w:jc w:val="both"/>
        <w:rPr>
          <w:rFonts w:eastAsia="Times New Roman" w:cs="Arial"/>
          <w:bCs/>
          <w:snapToGrid w:val="0"/>
          <w:sz w:val="17"/>
          <w:szCs w:val="17"/>
        </w:rPr>
      </w:pPr>
    </w:p>
    <w:p w14:paraId="4E71CF22" w14:textId="77777777" w:rsidR="003A289F" w:rsidRPr="00E6375B" w:rsidRDefault="003A289F" w:rsidP="003A289F">
      <w:pPr>
        <w:widowControl w:val="0"/>
        <w:jc w:val="both"/>
        <w:rPr>
          <w:rFonts w:eastAsia="Times New Roman" w:cs="Arial"/>
          <w:bCs/>
          <w:snapToGrid w:val="0"/>
          <w:sz w:val="17"/>
          <w:szCs w:val="17"/>
        </w:rPr>
      </w:pPr>
    </w:p>
    <w:bookmarkEnd w:id="2"/>
    <w:p w14:paraId="6347A766" w14:textId="77777777" w:rsidR="00294584" w:rsidRPr="00294584" w:rsidRDefault="00294584" w:rsidP="00294584">
      <w:pPr>
        <w:pStyle w:val="ListParagraph"/>
        <w:widowControl w:val="0"/>
        <w:numPr>
          <w:ilvl w:val="3"/>
          <w:numId w:val="12"/>
        </w:numPr>
        <w:ind w:left="1440"/>
        <w:jc w:val="both"/>
        <w:rPr>
          <w:rFonts w:eastAsia="Arial" w:cs="Arial"/>
          <w:sz w:val="20"/>
          <w:szCs w:val="20"/>
        </w:rPr>
      </w:pPr>
      <w:r w:rsidRPr="00294584">
        <w:rPr>
          <w:rFonts w:eastAsia="Times New Roman" w:cs="Arial"/>
          <w:b/>
          <w:bCs/>
          <w:snapToGrid w:val="0"/>
          <w:sz w:val="20"/>
          <w:szCs w:val="20"/>
        </w:rPr>
        <w:t xml:space="preserve">Rose Creek Condominium Association, Inc. </w:t>
      </w:r>
      <w:r w:rsidRPr="00294584">
        <w:rPr>
          <w:rFonts w:eastAsia="Times New Roman" w:cs="Arial"/>
          <w:i/>
          <w:iCs/>
          <w:snapToGrid w:val="0"/>
          <w:sz w:val="20"/>
          <w:szCs w:val="20"/>
        </w:rPr>
        <w:t>[WP-23-53 at 1604 Arcadia Drive]</w:t>
      </w:r>
      <w:r w:rsidRPr="00294584">
        <w:rPr>
          <w:rFonts w:eastAsia="Times New Roman" w:cs="Arial"/>
          <w:snapToGrid w:val="0"/>
          <w:sz w:val="20"/>
          <w:szCs w:val="20"/>
        </w:rPr>
        <w:t xml:space="preserve"> </w:t>
      </w:r>
      <w:r w:rsidRPr="00294584">
        <w:rPr>
          <w:rFonts w:eastAsia="Arial" w:cs="Arial"/>
          <w:sz w:val="20"/>
          <w:szCs w:val="20"/>
        </w:rPr>
        <w:t>Discharge of untreated wastewater to the ground, surrounding environment and stormwater draining to MS4; Failure to comply with Wastewater Collection/Transmission System design standards; Failure to notify EQD of Discharge from the System and Failure to provide required records.</w:t>
      </w:r>
    </w:p>
    <w:p w14:paraId="295D32D8" w14:textId="77777777" w:rsidR="003A289F" w:rsidRPr="00A32EB5" w:rsidRDefault="003A289F" w:rsidP="003A289F">
      <w:pPr>
        <w:pStyle w:val="ListParagraph"/>
        <w:widowControl w:val="0"/>
        <w:ind w:left="1440"/>
        <w:jc w:val="both"/>
        <w:rPr>
          <w:rFonts w:eastAsia="Times New Roman" w:cs="Arial"/>
          <w:bCs/>
          <w:snapToGrid w:val="0"/>
          <w:sz w:val="20"/>
          <w:szCs w:val="20"/>
        </w:rPr>
      </w:pPr>
    </w:p>
    <w:p w14:paraId="35CE5E90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  <w:u w:val="single"/>
        </w:rPr>
        <w:t>Corrective Actions:</w:t>
      </w:r>
    </w:p>
    <w:sdt>
      <w:sdtPr>
        <w:rPr>
          <w:rFonts w:eastAsia="Times New Roman" w:cs="Arial"/>
          <w:bCs/>
          <w:snapToGrid w:val="0"/>
          <w:sz w:val="20"/>
          <w:szCs w:val="20"/>
        </w:rPr>
        <w:id w:val="624813840"/>
        <w:placeholder>
          <w:docPart w:val="CFF19C8E3D224A8DB55E8F72CA34A693"/>
        </w:placeholder>
      </w:sdtPr>
      <w:sdtEndPr/>
      <w:sdtContent>
        <w:p w14:paraId="490E9041" w14:textId="77777777" w:rsidR="00294584" w:rsidRPr="00294584" w:rsidRDefault="00294584" w:rsidP="00294584">
          <w:pPr>
            <w:widowControl w:val="0"/>
            <w:ind w:left="2160"/>
            <w:jc w:val="both"/>
            <w:rPr>
              <w:rFonts w:eastAsia="Times New Roman" w:cs="Arial"/>
              <w:bCs/>
              <w:snapToGrid w:val="0"/>
              <w:sz w:val="20"/>
              <w:szCs w:val="20"/>
            </w:rPr>
          </w:pPr>
          <w:r w:rsidRPr="00294584">
            <w:rPr>
              <w:rFonts w:eastAsia="Times New Roman" w:cs="Arial"/>
              <w:bCs/>
              <w:snapToGrid w:val="0"/>
              <w:sz w:val="20"/>
              <w:szCs w:val="20"/>
            </w:rPr>
            <w:t>A part was on order and a vac truck(s) will be utilized to empty the pump station.</w:t>
          </w:r>
        </w:p>
      </w:sdtContent>
    </w:sdt>
    <w:p w14:paraId="4EC0F490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  <w:u w:val="single"/>
        </w:rPr>
      </w:pPr>
    </w:p>
    <w:p w14:paraId="5B73282E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  <w:u w:val="single"/>
        </w:rPr>
      </w:pPr>
      <w:r w:rsidRPr="00294584">
        <w:rPr>
          <w:rFonts w:eastAsia="Times New Roman" w:cs="Arial"/>
          <w:bCs/>
          <w:snapToGrid w:val="0"/>
          <w:sz w:val="20"/>
          <w:szCs w:val="20"/>
          <w:u w:val="single"/>
        </w:rPr>
        <w:t>ND response to alleged violation(s):</w:t>
      </w:r>
    </w:p>
    <w:p w14:paraId="6BD94DD1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Cs/>
          <w:snapToGrid w:val="0"/>
          <w:sz w:val="20"/>
          <w:szCs w:val="20"/>
        </w:rPr>
      </w:pPr>
      <w:r w:rsidRPr="00294584">
        <w:rPr>
          <w:rFonts w:eastAsia="Times New Roman" w:cs="Arial"/>
          <w:bCs/>
          <w:snapToGrid w:val="0"/>
          <w:sz w:val="20"/>
          <w:szCs w:val="20"/>
        </w:rPr>
        <w:t xml:space="preserve">Cease and Desist Citation </w:t>
      </w:r>
      <w:sdt>
        <w:sdtPr>
          <w:rPr>
            <w:rFonts w:eastAsia="Times New Roman" w:cs="Arial"/>
            <w:bCs/>
            <w:snapToGrid w:val="0"/>
            <w:sz w:val="20"/>
            <w:szCs w:val="20"/>
          </w:rPr>
          <w:id w:val="-1105722749"/>
          <w:placeholder>
            <w:docPart w:val="51EC6D1DE8414B42818E6B86820E4F6F"/>
          </w:placeholder>
        </w:sdtPr>
        <w:sdtEndPr/>
        <w:sdtContent>
          <w:r w:rsidRPr="00294584">
            <w:rPr>
              <w:rFonts w:eastAsia="Times New Roman" w:cs="Arial"/>
              <w:bCs/>
              <w:snapToGrid w:val="0"/>
              <w:sz w:val="20"/>
              <w:szCs w:val="20"/>
            </w:rPr>
            <w:t>WP-23-53</w:t>
          </w:r>
        </w:sdtContent>
      </w:sdt>
      <w:r w:rsidRPr="00294584">
        <w:rPr>
          <w:rFonts w:eastAsia="Times New Roman" w:cs="Arial"/>
          <w:bCs/>
          <w:snapToGrid w:val="0"/>
          <w:sz w:val="20"/>
          <w:szCs w:val="20"/>
        </w:rPr>
        <w:t xml:space="preserve"> issued</w:t>
      </w:r>
    </w:p>
    <w:p w14:paraId="0A8B345A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b/>
          <w:snapToGrid w:val="0"/>
          <w:sz w:val="20"/>
          <w:szCs w:val="20"/>
        </w:rPr>
      </w:pPr>
    </w:p>
    <w:p w14:paraId="32AE07E5" w14:textId="2B1CB3E4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  <w:u w:val="single"/>
        </w:rPr>
        <w:t>Consent Order settlement fee</w:t>
      </w:r>
      <w:r w:rsidRPr="00294584">
        <w:rPr>
          <w:rFonts w:eastAsia="Times New Roman" w:cs="Arial"/>
          <w:b/>
          <w:bCs/>
          <w:snapToGrid w:val="0"/>
          <w:sz w:val="20"/>
          <w:szCs w:val="20"/>
          <w:u w:val="single"/>
        </w:rPr>
        <w:t>:</w:t>
      </w:r>
      <w:r w:rsidRPr="00294584">
        <w:rPr>
          <w:rFonts w:eastAsia="Times New Roman" w:cs="Arial"/>
          <w:b/>
          <w:bCs/>
          <w:snapToGrid w:val="0"/>
          <w:sz w:val="20"/>
          <w:szCs w:val="20"/>
        </w:rPr>
        <w:t xml:space="preserve"> $8,000</w:t>
      </w:r>
      <w:r w:rsidRPr="00294584">
        <w:rPr>
          <w:rFonts w:eastAsia="Times New Roman" w:cs="Arial"/>
          <w:snapToGrid w:val="0"/>
          <w:sz w:val="20"/>
          <w:szCs w:val="20"/>
        </w:rPr>
        <w:t xml:space="preserve"> with mitigation potential.</w:t>
      </w:r>
    </w:p>
    <w:p w14:paraId="5971A77E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</w:p>
    <w:p w14:paraId="78337BAA" w14:textId="77777777" w:rsidR="00294584" w:rsidRPr="00294584" w:rsidRDefault="00294584" w:rsidP="00294584">
      <w:pPr>
        <w:widowControl w:val="0"/>
        <w:ind w:left="2160"/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  <w:u w:val="single"/>
        </w:rPr>
        <w:t>Consent Order requirements</w:t>
      </w:r>
      <w:r w:rsidRPr="00294584">
        <w:rPr>
          <w:rFonts w:eastAsia="Times New Roman" w:cs="Arial"/>
          <w:snapToGrid w:val="0"/>
          <w:sz w:val="20"/>
          <w:szCs w:val="20"/>
        </w:rPr>
        <w:t>:</w:t>
      </w:r>
    </w:p>
    <w:p w14:paraId="6A1C225D" w14:textId="77777777" w:rsidR="00294584" w:rsidRPr="00294584" w:rsidRDefault="00294584" w:rsidP="00294584">
      <w:pPr>
        <w:pStyle w:val="ListParagraph"/>
        <w:widowControl w:val="0"/>
        <w:numPr>
          <w:ilvl w:val="0"/>
          <w:numId w:val="13"/>
        </w:numPr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</w:rPr>
        <w:t>Initial Engineer review within 60 days.</w:t>
      </w:r>
    </w:p>
    <w:p w14:paraId="545F427E" w14:textId="77777777" w:rsidR="00294584" w:rsidRPr="00294584" w:rsidRDefault="00294584" w:rsidP="00294584">
      <w:pPr>
        <w:pStyle w:val="ListParagraph"/>
        <w:widowControl w:val="0"/>
        <w:numPr>
          <w:ilvl w:val="0"/>
          <w:numId w:val="13"/>
        </w:numPr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</w:rPr>
        <w:t>Final Engineer report within 120 days or deadline established in report.</w:t>
      </w:r>
    </w:p>
    <w:p w14:paraId="6586CD83" w14:textId="77777777" w:rsidR="00294584" w:rsidRPr="00294584" w:rsidRDefault="00294584" w:rsidP="00294584">
      <w:pPr>
        <w:pStyle w:val="ListParagraph"/>
        <w:widowControl w:val="0"/>
        <w:numPr>
          <w:ilvl w:val="0"/>
          <w:numId w:val="13"/>
        </w:numPr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</w:rPr>
        <w:t>Submit Monthly Status Reports starting in October.</w:t>
      </w:r>
    </w:p>
    <w:p w14:paraId="7F871073" w14:textId="77777777" w:rsidR="00294584" w:rsidRPr="00294584" w:rsidRDefault="00294584" w:rsidP="00294584">
      <w:pPr>
        <w:pStyle w:val="ListParagraph"/>
        <w:widowControl w:val="0"/>
        <w:numPr>
          <w:ilvl w:val="0"/>
          <w:numId w:val="13"/>
        </w:numPr>
        <w:jc w:val="both"/>
        <w:rPr>
          <w:rFonts w:eastAsia="Times New Roman" w:cs="Arial"/>
          <w:snapToGrid w:val="0"/>
          <w:sz w:val="20"/>
          <w:szCs w:val="20"/>
        </w:rPr>
      </w:pPr>
      <w:r w:rsidRPr="00294584">
        <w:rPr>
          <w:rFonts w:eastAsia="Times New Roman" w:cs="Arial"/>
          <w:snapToGrid w:val="0"/>
          <w:sz w:val="20"/>
          <w:szCs w:val="20"/>
        </w:rPr>
        <w:t>Submit Monthly Maintenance Reports starting in October.</w:t>
      </w:r>
    </w:p>
    <w:p w14:paraId="0CBA3B5C" w14:textId="77777777" w:rsidR="003A289F" w:rsidRDefault="003A289F" w:rsidP="003A289F">
      <w:pPr>
        <w:ind w:left="90" w:firstLine="720"/>
        <w:rPr>
          <w:b/>
          <w:sz w:val="22"/>
          <w:u w:val="single"/>
        </w:rPr>
      </w:pPr>
    </w:p>
    <w:p w14:paraId="5F8401A0" w14:textId="77777777" w:rsidR="003A289F" w:rsidRDefault="003A289F" w:rsidP="003A289F">
      <w:pPr>
        <w:ind w:left="90" w:firstLine="720"/>
        <w:rPr>
          <w:b/>
          <w:sz w:val="22"/>
          <w:u w:val="single"/>
        </w:rPr>
      </w:pPr>
    </w:p>
    <w:bookmarkEnd w:id="1"/>
    <w:p w14:paraId="070F0277" w14:textId="5EB45F63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65DE39A3" w14:textId="77777777" w:rsidR="003A289F" w:rsidRDefault="003A289F" w:rsidP="003A289F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19561B14" w14:textId="48BC40D1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7598138" w14:textId="77777777" w:rsidR="003A289F" w:rsidRPr="00EF6F8F" w:rsidRDefault="003A289F" w:rsidP="003A289F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BF0899" w14:textId="790F6252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3EB9CBD2" w14:textId="7C433DDA" w:rsidR="003A289F" w:rsidRDefault="003276BA" w:rsidP="003A289F">
      <w:pPr>
        <w:numPr>
          <w:ilvl w:val="0"/>
          <w:numId w:val="7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JEPB Elections</w:t>
      </w:r>
    </w:p>
    <w:p w14:paraId="7A171CBB" w14:textId="342B8BFE" w:rsidR="003276BA" w:rsidRDefault="003276BA" w:rsidP="003276BA">
      <w:pPr>
        <w:numPr>
          <w:ilvl w:val="1"/>
          <w:numId w:val="7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Chair</w:t>
      </w:r>
    </w:p>
    <w:p w14:paraId="588EF813" w14:textId="573A8119" w:rsidR="003276BA" w:rsidRPr="00636F8D" w:rsidRDefault="003276BA" w:rsidP="003276BA">
      <w:pPr>
        <w:numPr>
          <w:ilvl w:val="1"/>
          <w:numId w:val="7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Vice-Chair</w:t>
      </w:r>
    </w:p>
    <w:p w14:paraId="28D8C58F" w14:textId="77777777" w:rsidR="003A289F" w:rsidRPr="00EF6F8F" w:rsidRDefault="003A289F" w:rsidP="003A289F">
      <w:pPr>
        <w:ind w:left="810"/>
        <w:rPr>
          <w:rFonts w:ascii="Century Gothic" w:hAnsi="Century Gothic"/>
          <w:sz w:val="22"/>
        </w:rPr>
      </w:pPr>
    </w:p>
    <w:p w14:paraId="1F1FD2CC" w14:textId="5E3BE02B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22E69967" w14:textId="77777777" w:rsidR="003A289F" w:rsidRPr="00EF6F8F" w:rsidRDefault="003A289F" w:rsidP="003A289F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0397CE3A" w14:textId="77777777" w:rsidR="003A289F" w:rsidRDefault="003A289F" w:rsidP="003A289F">
      <w:pPr>
        <w:pStyle w:val="ListParagraph"/>
        <w:autoSpaceDE w:val="0"/>
        <w:autoSpaceDN w:val="0"/>
        <w:adjustRightInd w:val="0"/>
        <w:ind w:left="360"/>
        <w:rPr>
          <w:rFonts w:ascii="Century Gothic" w:hAnsi="Century Gothic" w:cs="Century Gothic"/>
          <w:bCs/>
          <w:color w:val="000000"/>
          <w:sz w:val="22"/>
        </w:rPr>
      </w:pPr>
    </w:p>
    <w:p w14:paraId="71CF3752" w14:textId="5EBE642C" w:rsidR="003A289F" w:rsidRPr="00054AFF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358A4418" w14:textId="77777777" w:rsidR="003A289F" w:rsidRPr="00EF6F8F" w:rsidRDefault="003A289F" w:rsidP="003A289F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Retreat</w:t>
      </w:r>
      <w:r>
        <w:rPr>
          <w:rFonts w:ascii="Century Gothic" w:hAnsi="Century Gothic"/>
          <w:sz w:val="22"/>
        </w:rPr>
        <w:t xml:space="preserve"> </w:t>
      </w:r>
    </w:p>
    <w:p w14:paraId="14631793" w14:textId="77777777" w:rsidR="003A289F" w:rsidRPr="00EF6F8F" w:rsidRDefault="003A289F" w:rsidP="003A289F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 xml:space="preserve">Education &amp; Public Outreach </w:t>
      </w:r>
    </w:p>
    <w:p w14:paraId="388C277D" w14:textId="77777777" w:rsidR="003A289F" w:rsidRDefault="003A289F" w:rsidP="003A289F">
      <w:pPr>
        <w:ind w:left="1080"/>
      </w:pPr>
    </w:p>
    <w:p w14:paraId="73D3AC04" w14:textId="261AC95B" w:rsidR="003A289F" w:rsidRPr="00054AFF" w:rsidRDefault="00F5336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1A7B0BD8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7D8210A4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01C5661B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0CEADD79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93F1F43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759F0F90" w14:textId="6CAB626D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72250E25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29C8938" w14:textId="05EBDC8C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A48F2DA" w14:textId="77777777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68D7B763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36A34A80" w14:textId="77777777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16DDBCE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E96365D" w14:textId="32FBED8C" w:rsidR="003A289F" w:rsidRPr="00BD22ED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F53364">
        <w:rPr>
          <w:rFonts w:ascii="Century Gothic" w:hAnsi="Century Gothic" w:cs="Century Gothic"/>
          <w:sz w:val="22"/>
        </w:rPr>
        <w:t>November 13</w:t>
      </w:r>
      <w:r>
        <w:rPr>
          <w:rFonts w:ascii="Century Gothic" w:hAnsi="Century Gothic" w:cs="Century Gothic"/>
          <w:sz w:val="22"/>
        </w:rPr>
        <w:t>, 2023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43B08765" w14:textId="146FA0F4" w:rsidR="003A289F" w:rsidRPr="00F53364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Monday, </w:t>
      </w:r>
      <w:r w:rsidR="00F53364" w:rsidRPr="00F53364">
        <w:rPr>
          <w:rFonts w:ascii="Century Gothic" w:hAnsi="Century Gothic" w:cs="Century Gothic"/>
          <w:sz w:val="22"/>
        </w:rPr>
        <w:t>November 20</w:t>
      </w:r>
      <w:r w:rsidRPr="00F53364">
        <w:rPr>
          <w:rFonts w:ascii="Century Gothic" w:hAnsi="Century Gothic" w:cs="Century Gothic"/>
          <w:sz w:val="22"/>
        </w:rPr>
        <w:t>, 2023, at 5:00 pm</w:t>
      </w:r>
    </w:p>
    <w:p w14:paraId="6646FFF6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CD66B24" w14:textId="77777777" w:rsidR="003A289F" w:rsidRDefault="003A289F" w:rsidP="003A289F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58D917B2" w14:textId="77777777" w:rsidR="003A289F" w:rsidRDefault="003A289F" w:rsidP="003A289F"/>
    <w:p w14:paraId="37F05020" w14:textId="43C3FAF2" w:rsidR="00487293" w:rsidRPr="00E257B3" w:rsidRDefault="00487293" w:rsidP="003A289F">
      <w:pPr>
        <w:pStyle w:val="Heading2"/>
        <w:spacing w:before="0" w:beforeAutospacing="0" w:after="0" w:afterAutospacing="0"/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9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4513"/>
      <w:gridCol w:w="3064"/>
    </w:tblGrid>
    <w:tr w:rsidR="00683D3D" w14:paraId="76CAA857" w14:textId="77777777" w:rsidTr="00CF5FAD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3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77CE5990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1E7050">
            <w:rPr>
              <w:color w:val="1F497D" w:themeColor="text2"/>
              <w:sz w:val="16"/>
              <w:szCs w:val="16"/>
            </w:rPr>
            <w:t>David Wood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50363F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50363F">
            <w:rPr>
              <w:color w:val="1F497D" w:themeColor="text2"/>
              <w:sz w:val="16"/>
              <w:szCs w:val="16"/>
            </w:rPr>
            <w:t>, Adam Hoyles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0B378F">
            <w:rPr>
              <w:color w:val="1F497D" w:themeColor="text2"/>
              <w:sz w:val="16"/>
              <w:szCs w:val="16"/>
            </w:rPr>
            <w:t xml:space="preserve">Beth Leaptrott, </w:t>
          </w:r>
          <w:r w:rsidR="002B2EF8">
            <w:rPr>
              <w:color w:val="1F497D" w:themeColor="text2"/>
              <w:sz w:val="16"/>
              <w:szCs w:val="16"/>
            </w:rPr>
            <w:t xml:space="preserve">Clint Noble,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683D3D">
            <w:rPr>
              <w:color w:val="1F497D" w:themeColor="text2"/>
              <w:sz w:val="16"/>
              <w:szCs w:val="16"/>
            </w:rPr>
            <w:t xml:space="preserve"> </w:t>
          </w:r>
        </w:p>
      </w:tc>
      <w:tc>
        <w:tcPr>
          <w:tcW w:w="3064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44567364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3355F7">
            <w:rPr>
              <w:color w:val="1F497D" w:themeColor="text2"/>
              <w:sz w:val="16"/>
              <w:szCs w:val="16"/>
            </w:rPr>
            <w:t>Thomas Deck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72B3BBEC" w14:textId="5B086A62" w:rsidR="000B378F" w:rsidRDefault="000B378F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Adam Hoyles</w:t>
          </w:r>
        </w:p>
        <w:p w14:paraId="6CE62AFC" w14:textId="45AA94CE" w:rsidR="002B2EF8" w:rsidRDefault="002B2EF8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Clint Noble</w:t>
          </w:r>
        </w:p>
        <w:p w14:paraId="241511DC" w14:textId="77777777" w:rsidR="00182EE2" w:rsidRDefault="001E7050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</w:p>
        <w:p w14:paraId="12EC495D" w14:textId="3D184DF1" w:rsidR="000B378F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5DD347AE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Pr="00EC3733">
            <w:rPr>
              <w:color w:val="1F497D" w:themeColor="text2"/>
              <w:sz w:val="16"/>
              <w:szCs w:val="16"/>
            </w:rPr>
            <w:t>, MD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031B0696" w14:textId="77777777" w:rsidR="002B2EF8" w:rsidRDefault="000B378F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Beth Leaptrott</w:t>
          </w:r>
        </w:p>
        <w:p w14:paraId="6C32E010" w14:textId="04884F15" w:rsidR="001E7050" w:rsidRPr="00EC3733" w:rsidRDefault="002B2EF8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Clint Noble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96A12"/>
    <w:multiLevelType w:val="hybridMultilevel"/>
    <w:tmpl w:val="1E8C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6263"/>
    <w:multiLevelType w:val="hybridMultilevel"/>
    <w:tmpl w:val="8A8EE4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52D5B13"/>
    <w:multiLevelType w:val="hybridMultilevel"/>
    <w:tmpl w:val="42DA2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33B"/>
    <w:multiLevelType w:val="hybridMultilevel"/>
    <w:tmpl w:val="208A9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99004D9"/>
    <w:multiLevelType w:val="hybridMultilevel"/>
    <w:tmpl w:val="A1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4"/>
  </w:num>
  <w:num w:numId="3" w16cid:durableId="1314215821">
    <w:abstractNumId w:val="1"/>
  </w:num>
  <w:num w:numId="4" w16cid:durableId="1893926941">
    <w:abstractNumId w:val="9"/>
  </w:num>
  <w:num w:numId="5" w16cid:durableId="1683168007">
    <w:abstractNumId w:val="12"/>
  </w:num>
  <w:num w:numId="6" w16cid:durableId="246572459">
    <w:abstractNumId w:val="3"/>
  </w:num>
  <w:num w:numId="7" w16cid:durableId="1184174610">
    <w:abstractNumId w:val="8"/>
  </w:num>
  <w:num w:numId="8" w16cid:durableId="524369335">
    <w:abstractNumId w:val="0"/>
  </w:num>
  <w:num w:numId="9" w16cid:durableId="222958330">
    <w:abstractNumId w:val="11"/>
  </w:num>
  <w:num w:numId="10" w16cid:durableId="1196309505">
    <w:abstractNumId w:val="10"/>
  </w:num>
  <w:num w:numId="11" w16cid:durableId="677738532">
    <w:abstractNumId w:val="7"/>
  </w:num>
  <w:num w:numId="12" w16cid:durableId="2002417667">
    <w:abstractNumId w:val="5"/>
  </w:num>
  <w:num w:numId="13" w16cid:durableId="2085955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82EE2"/>
    <w:rsid w:val="001E7050"/>
    <w:rsid w:val="00211C95"/>
    <w:rsid w:val="00294584"/>
    <w:rsid w:val="002B2EF8"/>
    <w:rsid w:val="002E2051"/>
    <w:rsid w:val="00323D40"/>
    <w:rsid w:val="003276BA"/>
    <w:rsid w:val="003355F7"/>
    <w:rsid w:val="00394A11"/>
    <w:rsid w:val="003A289F"/>
    <w:rsid w:val="00487293"/>
    <w:rsid w:val="0050164B"/>
    <w:rsid w:val="0050363F"/>
    <w:rsid w:val="00584588"/>
    <w:rsid w:val="005960BE"/>
    <w:rsid w:val="006826BB"/>
    <w:rsid w:val="00683D3D"/>
    <w:rsid w:val="006F3EF1"/>
    <w:rsid w:val="008017C6"/>
    <w:rsid w:val="008A4B6B"/>
    <w:rsid w:val="00A439F0"/>
    <w:rsid w:val="00A77E44"/>
    <w:rsid w:val="00A94C57"/>
    <w:rsid w:val="00AC3542"/>
    <w:rsid w:val="00AD5582"/>
    <w:rsid w:val="00BB5C12"/>
    <w:rsid w:val="00C038F6"/>
    <w:rsid w:val="00C31DC7"/>
    <w:rsid w:val="00CF5FAD"/>
    <w:rsid w:val="00D03439"/>
    <w:rsid w:val="00D26FB5"/>
    <w:rsid w:val="00D709DF"/>
    <w:rsid w:val="00E257B3"/>
    <w:rsid w:val="00E26100"/>
    <w:rsid w:val="00E95420"/>
    <w:rsid w:val="00EF17DF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36BAF91E44A519643A7C9C626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2059-6EED-4CEF-B237-900D2BE80E65}"/>
      </w:docPartPr>
      <w:docPartBody>
        <w:p w:rsidR="00A12D19" w:rsidRDefault="00A12D19" w:rsidP="00A12D19">
          <w:pPr>
            <w:pStyle w:val="B6D36BAF91E44A519643A7C9C626FC92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6BF739B64E104CB3B723B21387D7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4246-0EC4-4071-8E22-3F7F20CD8565}"/>
      </w:docPartPr>
      <w:docPartBody>
        <w:p w:rsidR="00A12D19" w:rsidRDefault="00A12D19" w:rsidP="00A12D19">
          <w:pPr>
            <w:pStyle w:val="6BF739B64E104CB3B723B21387D72CB1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CFF19C8E3D224A8DB55E8F72CA34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F370-28C6-42C0-8ECE-567A698AE3E5}"/>
      </w:docPartPr>
      <w:docPartBody>
        <w:p w:rsidR="00A12D19" w:rsidRDefault="00A12D19" w:rsidP="00A12D19">
          <w:pPr>
            <w:pStyle w:val="CFF19C8E3D224A8DB55E8F72CA34A693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51EC6D1DE8414B42818E6B86820E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DEF3-8138-4E31-A072-41E417038FA2}"/>
      </w:docPartPr>
      <w:docPartBody>
        <w:p w:rsidR="00A12D19" w:rsidRDefault="00A12D19" w:rsidP="00A12D19">
          <w:pPr>
            <w:pStyle w:val="51EC6D1DE8414B42818E6B86820E4F6F"/>
          </w:pPr>
          <w:r w:rsidRPr="002254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65"/>
    <w:rsid w:val="00A12D19"/>
    <w:rsid w:val="00B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D19"/>
    <w:rPr>
      <w:color w:val="808080"/>
    </w:rPr>
  </w:style>
  <w:style w:type="paragraph" w:customStyle="1" w:styleId="B6D36BAF91E44A519643A7C9C626FC92">
    <w:name w:val="B6D36BAF91E44A519643A7C9C626FC92"/>
    <w:rsid w:val="00A12D19"/>
  </w:style>
  <w:style w:type="paragraph" w:customStyle="1" w:styleId="6BF739B64E104CB3B723B21387D72CB1">
    <w:name w:val="6BF739B64E104CB3B723B21387D72CB1"/>
    <w:rsid w:val="00A12D19"/>
  </w:style>
  <w:style w:type="paragraph" w:customStyle="1" w:styleId="CFF19C8E3D224A8DB55E8F72CA34A693">
    <w:name w:val="CFF19C8E3D224A8DB55E8F72CA34A693"/>
    <w:rsid w:val="00A12D19"/>
  </w:style>
  <w:style w:type="paragraph" w:customStyle="1" w:styleId="51EC6D1DE8414B42818E6B86820E4F6F">
    <w:name w:val="51EC6D1DE8414B42818E6B86820E4F6F"/>
    <w:rsid w:val="00A12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409</Words>
  <Characters>2577</Characters>
  <Application>Microsoft Office Word</Application>
  <DocSecurity>0</DocSecurity>
  <Lines>107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</cp:lastModifiedBy>
  <cp:revision>4</cp:revision>
  <cp:lastPrinted>2022-07-29T15:38:00Z</cp:lastPrinted>
  <dcterms:created xsi:type="dcterms:W3CDTF">2023-10-17T16:37:00Z</dcterms:created>
  <dcterms:modified xsi:type="dcterms:W3CDTF">2023-10-18T21:11:00Z</dcterms:modified>
</cp:coreProperties>
</file>