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849D" w14:textId="77777777" w:rsidR="00CF5FAD" w:rsidRPr="00CF5FAD" w:rsidRDefault="00CF5FAD" w:rsidP="00CF5FAD"/>
    <w:p w14:paraId="71768200" w14:textId="77777777" w:rsidR="00B14080" w:rsidRPr="00CF5FAD" w:rsidRDefault="00B14080" w:rsidP="00B14080"/>
    <w:p w14:paraId="6A662705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Jacksonville Environmental Protection Board</w:t>
      </w:r>
    </w:p>
    <w:p w14:paraId="6BF3CFBE" w14:textId="158719F8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Monday, Ma</w:t>
      </w:r>
      <w:r w:rsidR="003B4AF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y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</w:t>
      </w:r>
      <w:r w:rsidR="003B4AF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20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, 2024</w:t>
      </w:r>
    </w:p>
    <w:p w14:paraId="03759F91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MONTHLY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MEETING SUMMARY</w:t>
      </w:r>
    </w:p>
    <w:p w14:paraId="527734BF" w14:textId="77777777" w:rsidR="00B14080" w:rsidRPr="00B06508" w:rsidRDefault="00B14080" w:rsidP="00B14080"/>
    <w:p w14:paraId="422F70A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PRESENT:</w:t>
      </w:r>
    </w:p>
    <w:p w14:paraId="3100CA3F" w14:textId="77777777" w:rsidR="00B14080" w:rsidRPr="00B06508" w:rsidRDefault="00B14080" w:rsidP="00B14080">
      <w:pPr>
        <w:sectPr w:rsidR="00B14080" w:rsidRPr="00B06508" w:rsidSect="00B140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65BB319" w14:textId="77777777" w:rsidR="00B14080" w:rsidRDefault="00B14080" w:rsidP="00B14080">
      <w:r w:rsidRPr="00B06508">
        <w:t>Thomas Deck</w:t>
      </w:r>
      <w:r>
        <w:t>, Chair</w:t>
      </w:r>
      <w:r w:rsidRPr="00B06508">
        <w:t xml:space="preserve"> </w:t>
      </w:r>
    </w:p>
    <w:p w14:paraId="06F28241" w14:textId="77777777" w:rsidR="00B14080" w:rsidRDefault="00B14080" w:rsidP="00B14080">
      <w:r>
        <w:t>Guillermo Simon, P.E.</w:t>
      </w:r>
      <w:r w:rsidRPr="00CD2DA0">
        <w:t xml:space="preserve"> </w:t>
      </w:r>
      <w:r>
        <w:tab/>
      </w:r>
      <w:r>
        <w:tab/>
      </w:r>
    </w:p>
    <w:p w14:paraId="428D8C78" w14:textId="77777777" w:rsidR="00B14080" w:rsidRDefault="00B14080" w:rsidP="00B14080">
      <w:r>
        <w:t>Sunil Joshi, M.D.</w:t>
      </w:r>
      <w:r w:rsidRPr="00A3710D">
        <w:t xml:space="preserve"> </w:t>
      </w:r>
    </w:p>
    <w:p w14:paraId="4B52AAEA" w14:textId="77777777" w:rsidR="00B14080" w:rsidRDefault="00B14080" w:rsidP="00B14080">
      <w:r>
        <w:t>Clint Noble, P.G.</w:t>
      </w:r>
    </w:p>
    <w:p w14:paraId="3D73AC3F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3CE20D8" w14:textId="0C42C401" w:rsidR="00B327CF" w:rsidRDefault="00B10013" w:rsidP="00B14080">
      <w:r>
        <w:t>Josh Gellers, Ph.D.</w:t>
      </w:r>
      <w:r w:rsidR="00B327CF">
        <w:tab/>
      </w:r>
      <w:r w:rsidR="00B327CF">
        <w:tab/>
      </w:r>
      <w:r w:rsidR="00B327CF">
        <w:tab/>
      </w:r>
      <w:r w:rsidR="00B327CF">
        <w:tab/>
      </w:r>
      <w:r w:rsidR="00B327CF">
        <w:tab/>
        <w:t>Desiree Jones</w:t>
      </w:r>
    </w:p>
    <w:p w14:paraId="7958D0EF" w14:textId="77777777" w:rsidR="00B10013" w:rsidRDefault="00B10013" w:rsidP="00B14080"/>
    <w:p w14:paraId="3CF7292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NOT PRESENT:</w:t>
      </w:r>
    </w:p>
    <w:p w14:paraId="70F1A237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32CEE72" w14:textId="77777777" w:rsidR="00B10013" w:rsidRDefault="00B10013" w:rsidP="000E7FB5">
      <w:r>
        <w:t>A</w:t>
      </w:r>
      <w:r w:rsidRPr="00920EB3">
        <w:t>dam Hoyles</w:t>
      </w:r>
      <w:r>
        <w:t>, Vice-Chair</w:t>
      </w:r>
    </w:p>
    <w:p w14:paraId="00E8FFE9" w14:textId="77777777" w:rsidR="00B14080" w:rsidRPr="00B06508" w:rsidRDefault="00B14080" w:rsidP="000E7FB5">
      <w:r w:rsidRPr="00B06508">
        <w:t>David Wood</w:t>
      </w:r>
    </w:p>
    <w:p w14:paraId="1BF6F46B" w14:textId="77777777" w:rsidR="000E7FB5" w:rsidRDefault="000E7FB5" w:rsidP="00B14080">
      <w:pPr>
        <w:sectPr w:rsidR="000E7FB5" w:rsidSect="000E7FB5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05AE3EBA" w14:textId="4ABBCE45" w:rsidR="00B14080" w:rsidRDefault="00B14080" w:rsidP="00B14080">
      <w:r>
        <w:tab/>
      </w:r>
    </w:p>
    <w:p w14:paraId="08A91814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E30C0E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STAFF/RESOURCES PRESENT:</w:t>
      </w:r>
    </w:p>
    <w:p w14:paraId="3F644BCF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5BD1666" w14:textId="77777777" w:rsidR="00B14080" w:rsidRPr="00B06508" w:rsidRDefault="00B14080" w:rsidP="00B14080">
      <w:r w:rsidRPr="00B06508">
        <w:t>James Richardson, JEPB Administrator</w:t>
      </w:r>
    </w:p>
    <w:p w14:paraId="4211047F" w14:textId="77777777" w:rsidR="00B14080" w:rsidRDefault="00B14080" w:rsidP="00B14080">
      <w:r>
        <w:t>Cherry Pollock, OGC</w:t>
      </w:r>
    </w:p>
    <w:p w14:paraId="21E653E1" w14:textId="77777777" w:rsidR="00B14080" w:rsidRDefault="00B14080" w:rsidP="00B14080">
      <w:r>
        <w:t>Terry Carr, EQD</w:t>
      </w:r>
      <w:r>
        <w:tab/>
      </w:r>
      <w:r>
        <w:tab/>
      </w:r>
      <w:r>
        <w:tab/>
      </w:r>
      <w:r>
        <w:tab/>
      </w:r>
    </w:p>
    <w:p w14:paraId="1C2CAD1E" w14:textId="77777777" w:rsidR="00B14080" w:rsidRDefault="00B14080" w:rsidP="00B14080">
      <w:r>
        <w:t>Mike Williams, EQD</w:t>
      </w:r>
    </w:p>
    <w:p w14:paraId="78FA0B39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2B8D73CF" w14:textId="77777777" w:rsidR="00B14080" w:rsidRPr="00B06508" w:rsidRDefault="00B14080" w:rsidP="00B14080"/>
    <w:p w14:paraId="6CA08777" w14:textId="77777777" w:rsidR="00B14080" w:rsidRPr="00B06508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0" w:name="_Hlk6697530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VISITOR(s) PRESENT:</w:t>
      </w:r>
    </w:p>
    <w:p w14:paraId="6579D411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4C898E1F" w14:textId="77777777" w:rsidR="00B14080" w:rsidRDefault="00B14080" w:rsidP="00B14080">
      <w:r>
        <w:t>Ashlee Carter</w:t>
      </w:r>
    </w:p>
    <w:p w14:paraId="210A2ED8" w14:textId="58B471BE" w:rsidR="000E7FB5" w:rsidRDefault="000E7FB5" w:rsidP="00B14080">
      <w:r>
        <w:t>Representatives from Blue Ocean Construction</w:t>
      </w:r>
    </w:p>
    <w:p w14:paraId="541E17DF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bookmarkEnd w:id="0"/>
    <w:p w14:paraId="2186B356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79A9E3E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 xml:space="preserve">CALL TO ORDER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THOMAS DECK</w:t>
      </w:r>
    </w:p>
    <w:p w14:paraId="11B58C9D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INTRODUCTIONS</w:t>
      </w:r>
    </w:p>
    <w:p w14:paraId="7CE01F93" w14:textId="57B6D6B3" w:rsidR="00B14080" w:rsidRDefault="00B14080" w:rsidP="00B14080">
      <w:r w:rsidRPr="00B06508">
        <w:t xml:space="preserve">Chair </w:t>
      </w:r>
      <w:r>
        <w:t xml:space="preserve">Deck </w:t>
      </w:r>
      <w:r w:rsidRPr="00B06508">
        <w:t xml:space="preserve">called to order the </w:t>
      </w:r>
      <w:r>
        <w:t xml:space="preserve">monthly </w:t>
      </w:r>
      <w:r w:rsidRPr="00B06508">
        <w:t>meeting of the Jacksonville Environmental Protection Board (JEPB) at 5:0</w:t>
      </w:r>
      <w:r w:rsidR="000E7FB5">
        <w:t>1</w:t>
      </w:r>
      <w:r w:rsidRPr="00B06508">
        <w:t xml:space="preserve"> pm.  A quorum </w:t>
      </w:r>
      <w:r>
        <w:t xml:space="preserve">was </w:t>
      </w:r>
      <w:r w:rsidRPr="00B06508">
        <w:t>established</w:t>
      </w:r>
      <w:r>
        <w:t xml:space="preserve">.  He recognized </w:t>
      </w:r>
      <w:proofErr w:type="gramStart"/>
      <w:r w:rsidR="000E7FB5">
        <w:t>new</w:t>
      </w:r>
      <w:proofErr w:type="gramEnd"/>
      <w:r w:rsidR="000E7FB5">
        <w:t xml:space="preserve"> member Desiree Jones and welcomed her to her first meeting.</w:t>
      </w:r>
    </w:p>
    <w:p w14:paraId="3D28419D" w14:textId="77777777" w:rsidR="00B14080" w:rsidRDefault="00B14080" w:rsidP="00B14080"/>
    <w:p w14:paraId="4C69FD93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CHAIRMANS REMARKS</w:t>
      </w:r>
    </w:p>
    <w:p w14:paraId="1931CC91" w14:textId="77777777" w:rsidR="00B14080" w:rsidRDefault="00B14080" w:rsidP="00B14080">
      <w:r>
        <w:t>None</w:t>
      </w:r>
    </w:p>
    <w:p w14:paraId="26819A30" w14:textId="77777777" w:rsidR="00B14080" w:rsidRDefault="00B14080" w:rsidP="00B14080"/>
    <w:p w14:paraId="5504F02A" w14:textId="77777777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" w:name="_Hlk142294547"/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COMMENTS FROM THE PUBLIC </w:t>
      </w:r>
    </w:p>
    <w:bookmarkEnd w:id="1"/>
    <w:p w14:paraId="397E5519" w14:textId="0E47C0EB" w:rsidR="00B14080" w:rsidRDefault="000E7FB5" w:rsidP="00B14080">
      <w:r>
        <w:t>None</w:t>
      </w:r>
    </w:p>
    <w:p w14:paraId="3E9371C1" w14:textId="77777777" w:rsidR="00B14080" w:rsidRDefault="00B14080" w:rsidP="00B14080"/>
    <w:p w14:paraId="397FD281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APPROVAL OF MINUTES</w:t>
      </w:r>
    </w:p>
    <w:p w14:paraId="77BB6D16" w14:textId="48830679" w:rsidR="00B14080" w:rsidRDefault="000E7FB5" w:rsidP="00B1408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March </w:t>
      </w:r>
      <w:r w:rsidR="00B14080">
        <w:rPr>
          <w:rFonts w:ascii="Century Gothic" w:hAnsi="Century Gothic"/>
          <w:bCs/>
          <w:sz w:val="22"/>
        </w:rPr>
        <w:t>2024</w:t>
      </w:r>
      <w:r>
        <w:rPr>
          <w:rFonts w:ascii="Century Gothic" w:hAnsi="Century Gothic"/>
          <w:bCs/>
          <w:sz w:val="22"/>
        </w:rPr>
        <w:t xml:space="preserve"> </w:t>
      </w:r>
      <w:r w:rsidR="00B14080" w:rsidRPr="008D3936">
        <w:rPr>
          <w:rFonts w:ascii="Century Gothic" w:hAnsi="Century Gothic"/>
          <w:bCs/>
          <w:sz w:val="22"/>
        </w:rPr>
        <w:t xml:space="preserve">Monthly </w:t>
      </w:r>
      <w:r>
        <w:rPr>
          <w:rFonts w:ascii="Century Gothic" w:hAnsi="Century Gothic"/>
          <w:bCs/>
          <w:sz w:val="22"/>
        </w:rPr>
        <w:t xml:space="preserve">Board and Committee </w:t>
      </w:r>
      <w:r w:rsidR="00B14080" w:rsidRPr="008D3936">
        <w:rPr>
          <w:rFonts w:ascii="Century Gothic" w:hAnsi="Century Gothic"/>
          <w:bCs/>
          <w:sz w:val="22"/>
        </w:rPr>
        <w:t>Meeting</w:t>
      </w:r>
      <w:r w:rsidR="00B14080">
        <w:rPr>
          <w:rFonts w:ascii="Century Gothic" w:hAnsi="Century Gothic"/>
          <w:bCs/>
          <w:sz w:val="22"/>
        </w:rPr>
        <w:t xml:space="preserve"> Summar</w:t>
      </w:r>
      <w:r>
        <w:rPr>
          <w:rFonts w:ascii="Century Gothic" w:hAnsi="Century Gothic"/>
          <w:bCs/>
          <w:sz w:val="22"/>
        </w:rPr>
        <w:t xml:space="preserve">ies </w:t>
      </w:r>
    </w:p>
    <w:p w14:paraId="0DCD193A" w14:textId="77777777" w:rsidR="00B14080" w:rsidRDefault="00B14080" w:rsidP="00B14080"/>
    <w:p w14:paraId="104D87A3" w14:textId="2C54D73A" w:rsidR="00B14080" w:rsidRDefault="00B14080" w:rsidP="00B14080">
      <w:r>
        <w:t>A motion was made (</w:t>
      </w:r>
      <w:r w:rsidR="000E7FB5">
        <w:t>Geller</w:t>
      </w:r>
      <w:r>
        <w:t>) to approve the meeting summaries, properly seconded (</w:t>
      </w:r>
      <w:r w:rsidR="000E7FB5">
        <w:t>Noble</w:t>
      </w:r>
      <w:r>
        <w:t>) and approved by the body.</w:t>
      </w:r>
    </w:p>
    <w:p w14:paraId="09592939" w14:textId="77777777" w:rsidR="00B14080" w:rsidRDefault="00B14080" w:rsidP="00B14080"/>
    <w:p w14:paraId="3C8F1B3E" w14:textId="5109E5CE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CONSENT ORDERS</w:t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  <w:t>JAMES RICHARDSON</w:t>
      </w:r>
    </w:p>
    <w:p w14:paraId="5914E174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1A075E" w14:textId="77777777" w:rsidR="00B14080" w:rsidRDefault="00B14080" w:rsidP="00B14080">
      <w:pPr>
        <w:keepNext/>
        <w:keepLines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  <w:bookmarkStart w:id="2" w:name="_Hlk48050436"/>
      <w:r w:rsidRPr="006173A2"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  <w:t>Air/Noise</w:t>
      </w:r>
    </w:p>
    <w:p w14:paraId="2E996E07" w14:textId="77777777" w:rsidR="00B14080" w:rsidRDefault="00B14080" w:rsidP="00B14080">
      <w:pPr>
        <w:keepNext/>
        <w:keepLines/>
        <w:ind w:firstLine="720"/>
        <w:outlineLvl w:val="1"/>
        <w:rPr>
          <w:rFonts w:ascii="Century Gothic" w:eastAsia="Calibri" w:hAnsi="Century Gothic" w:cstheme="majorBidi"/>
          <w:sz w:val="22"/>
        </w:rPr>
      </w:pPr>
    </w:p>
    <w:bookmarkEnd w:id="2"/>
    <w:p w14:paraId="14D44FE5" w14:textId="77777777" w:rsidR="000E7FB5" w:rsidRPr="00390CBE" w:rsidRDefault="000E7FB5" w:rsidP="000E7FB5">
      <w:pPr>
        <w:pStyle w:val="ListParagraph"/>
        <w:numPr>
          <w:ilvl w:val="0"/>
          <w:numId w:val="6"/>
        </w:numPr>
        <w:spacing w:line="223" w:lineRule="auto"/>
        <w:ind w:left="1440"/>
        <w:jc w:val="both"/>
        <w:rPr>
          <w:sz w:val="22"/>
        </w:rPr>
      </w:pPr>
      <w:r w:rsidRPr="00390CBE">
        <w:rPr>
          <w:b/>
          <w:bCs/>
          <w:sz w:val="22"/>
        </w:rPr>
        <w:t xml:space="preserve">USNR, LLC - </w:t>
      </w:r>
      <w:r w:rsidRPr="00390CBE">
        <w:rPr>
          <w:i/>
          <w:iCs/>
          <w:sz w:val="22"/>
        </w:rPr>
        <w:t xml:space="preserve">[AP-24-03 at 6630 Broadway Avenue] </w:t>
      </w:r>
      <w:r w:rsidRPr="00390CBE">
        <w:rPr>
          <w:sz w:val="22"/>
        </w:rPr>
        <w:t>Failure to obtain air construction permit prior to beginning construction of an air pollution source</w:t>
      </w:r>
    </w:p>
    <w:p w14:paraId="3009B81F" w14:textId="77777777" w:rsidR="000E7FB5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  <w:u w:val="single"/>
        </w:rPr>
      </w:pPr>
    </w:p>
    <w:p w14:paraId="7FE93784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</w:rPr>
      </w:pPr>
      <w:r w:rsidRPr="00C265ED">
        <w:rPr>
          <w:rFonts w:eastAsia="Times New Roman" w:cs="Arial"/>
          <w:bCs/>
          <w:snapToGrid w:val="0"/>
          <w:sz w:val="18"/>
          <w:szCs w:val="18"/>
          <w:u w:val="single"/>
        </w:rPr>
        <w:t>Corrective Actions:</w:t>
      </w:r>
    </w:p>
    <w:p w14:paraId="3103B8A1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</w:rPr>
      </w:pPr>
      <w:r w:rsidRPr="00C265ED">
        <w:rPr>
          <w:rFonts w:eastAsia="Times New Roman" w:cs="Arial"/>
          <w:bCs/>
          <w:snapToGrid w:val="0"/>
          <w:sz w:val="18"/>
          <w:szCs w:val="18"/>
        </w:rPr>
        <w:t>Received Permit Application on 1/31/2024</w:t>
      </w:r>
    </w:p>
    <w:p w14:paraId="76CEC97C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  <w:u w:val="single"/>
        </w:rPr>
      </w:pPr>
    </w:p>
    <w:p w14:paraId="76148172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  <w:u w:val="single"/>
        </w:rPr>
      </w:pPr>
      <w:r w:rsidRPr="00C265ED">
        <w:rPr>
          <w:rFonts w:eastAsia="Times New Roman" w:cs="Arial"/>
          <w:snapToGrid w:val="0"/>
          <w:sz w:val="18"/>
          <w:szCs w:val="18"/>
          <w:u w:val="single"/>
        </w:rPr>
        <w:t xml:space="preserve">Consent Order settlement fee: </w:t>
      </w:r>
    </w:p>
    <w:p w14:paraId="0BB6E5BB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/>
          <w:bCs/>
          <w:snapToGrid w:val="0"/>
          <w:sz w:val="18"/>
          <w:szCs w:val="18"/>
        </w:rPr>
      </w:pPr>
      <w:r w:rsidRPr="00C265ED">
        <w:rPr>
          <w:rFonts w:eastAsia="Times New Roman" w:cs="Arial"/>
          <w:b/>
          <w:bCs/>
          <w:snapToGrid w:val="0"/>
          <w:sz w:val="18"/>
          <w:szCs w:val="18"/>
        </w:rPr>
        <w:t>$26,000</w:t>
      </w:r>
    </w:p>
    <w:p w14:paraId="0297FF65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</w:p>
    <w:p w14:paraId="1C2D6B9C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  <w:r w:rsidRPr="00C265ED">
        <w:rPr>
          <w:rFonts w:eastAsia="Times New Roman" w:cs="Arial"/>
          <w:snapToGrid w:val="0"/>
          <w:sz w:val="18"/>
          <w:szCs w:val="18"/>
          <w:u w:val="single"/>
        </w:rPr>
        <w:t>Consent Order requirements</w:t>
      </w:r>
      <w:r w:rsidRPr="00C265ED">
        <w:rPr>
          <w:rFonts w:eastAsia="Times New Roman" w:cs="Arial"/>
          <w:snapToGrid w:val="0"/>
          <w:sz w:val="18"/>
          <w:szCs w:val="18"/>
        </w:rPr>
        <w:t>:</w:t>
      </w:r>
    </w:p>
    <w:p w14:paraId="1585EFB5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  <w:r w:rsidRPr="00C265ED">
        <w:rPr>
          <w:rFonts w:eastAsia="Times New Roman" w:cs="Arial"/>
          <w:snapToGrid w:val="0"/>
          <w:sz w:val="18"/>
          <w:szCs w:val="18"/>
        </w:rPr>
        <w:t>Payment only</w:t>
      </w:r>
    </w:p>
    <w:p w14:paraId="4E49A76E" w14:textId="77777777" w:rsidR="000E7FB5" w:rsidRDefault="000E7FB5" w:rsidP="000E7FB5">
      <w:pPr>
        <w:rPr>
          <w:sz w:val="20"/>
          <w:szCs w:val="20"/>
        </w:rPr>
      </w:pPr>
    </w:p>
    <w:p w14:paraId="5182C616" w14:textId="77777777" w:rsidR="00B14080" w:rsidRPr="006611F5" w:rsidRDefault="00B14080" w:rsidP="00B14080">
      <w:pPr>
        <w:pStyle w:val="ListParagraph"/>
        <w:ind w:left="1440"/>
        <w:rPr>
          <w:rFonts w:ascii="Century Gothic" w:eastAsia="Calibri" w:hAnsi="Century Gothic" w:cstheme="majorBidi"/>
          <w:bCs/>
          <w:sz w:val="22"/>
        </w:rPr>
      </w:pPr>
    </w:p>
    <w:p w14:paraId="20F60D17" w14:textId="029BD4C4" w:rsidR="00B14080" w:rsidRDefault="00B14080" w:rsidP="00B14080">
      <w:pPr>
        <w:rPr>
          <w:rFonts w:eastAsia="Times New Roman" w:cs="Arial"/>
          <w:bCs/>
          <w:snapToGrid w:val="0"/>
          <w:szCs w:val="24"/>
        </w:rPr>
      </w:pPr>
      <w:r w:rsidRPr="00133232">
        <w:rPr>
          <w:rFonts w:eastAsia="Times New Roman" w:cs="Arial"/>
          <w:bCs/>
          <w:snapToGrid w:val="0"/>
          <w:szCs w:val="24"/>
        </w:rPr>
        <w:t xml:space="preserve">A motion was made to approve the </w:t>
      </w:r>
      <w:r>
        <w:rPr>
          <w:rFonts w:eastAsia="Times New Roman" w:cs="Arial"/>
          <w:bCs/>
          <w:snapToGrid w:val="0"/>
          <w:szCs w:val="24"/>
        </w:rPr>
        <w:t xml:space="preserve">Air </w:t>
      </w:r>
      <w:r w:rsidRPr="00133232">
        <w:rPr>
          <w:rFonts w:eastAsia="Times New Roman" w:cs="Arial"/>
          <w:bCs/>
          <w:snapToGrid w:val="0"/>
          <w:szCs w:val="24"/>
        </w:rPr>
        <w:t>consent order as presented (</w:t>
      </w:r>
      <w:r w:rsidR="000E7FB5">
        <w:rPr>
          <w:rFonts w:eastAsia="Times New Roman" w:cs="Arial"/>
          <w:bCs/>
          <w:snapToGrid w:val="0"/>
          <w:szCs w:val="24"/>
        </w:rPr>
        <w:t>Simon</w:t>
      </w:r>
      <w:r w:rsidRPr="00133232">
        <w:rPr>
          <w:rFonts w:eastAsia="Times New Roman" w:cs="Arial"/>
          <w:bCs/>
          <w:snapToGrid w:val="0"/>
          <w:szCs w:val="24"/>
        </w:rPr>
        <w:t>), properly seconded (</w:t>
      </w:r>
      <w:r w:rsidR="000E7FB5">
        <w:rPr>
          <w:rFonts w:eastAsia="Times New Roman" w:cs="Arial"/>
          <w:bCs/>
          <w:snapToGrid w:val="0"/>
          <w:szCs w:val="24"/>
        </w:rPr>
        <w:t>Joshi</w:t>
      </w:r>
      <w:r w:rsidRPr="00133232">
        <w:rPr>
          <w:rFonts w:eastAsia="Times New Roman" w:cs="Arial"/>
          <w:bCs/>
          <w:snapToGrid w:val="0"/>
          <w:szCs w:val="24"/>
        </w:rPr>
        <w:t>) and approved by the body.</w:t>
      </w:r>
    </w:p>
    <w:p w14:paraId="157079EE" w14:textId="77777777" w:rsidR="000E7FB5" w:rsidRDefault="000E7FB5" w:rsidP="00B14080">
      <w:pPr>
        <w:rPr>
          <w:rFonts w:eastAsia="Times New Roman" w:cs="Arial"/>
          <w:bCs/>
          <w:snapToGrid w:val="0"/>
          <w:szCs w:val="24"/>
        </w:rPr>
      </w:pPr>
    </w:p>
    <w:p w14:paraId="52BB2A40" w14:textId="77777777" w:rsidR="000E7FB5" w:rsidRDefault="000E7FB5" w:rsidP="00B14080">
      <w:pPr>
        <w:rPr>
          <w:rFonts w:eastAsia="Times New Roman" w:cs="Arial"/>
          <w:bCs/>
          <w:snapToGrid w:val="0"/>
          <w:szCs w:val="24"/>
        </w:rPr>
      </w:pPr>
    </w:p>
    <w:p w14:paraId="416EB9F5" w14:textId="77777777" w:rsidR="000E7FB5" w:rsidRDefault="000E7FB5" w:rsidP="00B14080">
      <w:pPr>
        <w:rPr>
          <w:rFonts w:eastAsia="Times New Roman" w:cs="Arial"/>
          <w:bCs/>
          <w:snapToGrid w:val="0"/>
          <w:szCs w:val="24"/>
        </w:rPr>
      </w:pPr>
    </w:p>
    <w:p w14:paraId="7BFECD8D" w14:textId="77777777" w:rsidR="000E7FB5" w:rsidRPr="00133232" w:rsidRDefault="000E7FB5" w:rsidP="00B14080">
      <w:pPr>
        <w:rPr>
          <w:rFonts w:eastAsia="Times New Roman" w:cs="Arial"/>
          <w:bCs/>
          <w:snapToGrid w:val="0"/>
          <w:szCs w:val="24"/>
        </w:rPr>
      </w:pPr>
    </w:p>
    <w:p w14:paraId="1A60EFB1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13D825F5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6634D482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13C97B63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338F379E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18557A26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223BBDCD" w14:textId="77777777" w:rsidR="00B14080" w:rsidRDefault="00B14080" w:rsidP="00B14080">
      <w:pPr>
        <w:keepNext/>
        <w:keepLines/>
        <w:spacing w:before="40"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  <w:r w:rsidRPr="0003592F"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  <w:lastRenderedPageBreak/>
        <w:t>Water</w:t>
      </w:r>
    </w:p>
    <w:p w14:paraId="748BC56D" w14:textId="77777777" w:rsidR="000E7FB5" w:rsidRPr="0003592F" w:rsidRDefault="000E7FB5" w:rsidP="00B14080">
      <w:pPr>
        <w:keepNext/>
        <w:keepLines/>
        <w:spacing w:before="40"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</w:p>
    <w:bookmarkStart w:id="3" w:name="_Hlk161127426"/>
    <w:bookmarkStart w:id="4" w:name="_Hlk152841780"/>
    <w:p w14:paraId="14EBD20B" w14:textId="77777777" w:rsidR="000E7FB5" w:rsidRPr="00462CCE" w:rsidRDefault="003B4AFE" w:rsidP="000E7FB5">
      <w:pPr>
        <w:pStyle w:val="ListParagraph"/>
        <w:numPr>
          <w:ilvl w:val="0"/>
          <w:numId w:val="8"/>
        </w:numPr>
        <w:ind w:left="1440"/>
        <w:rPr>
          <w:sz w:val="22"/>
        </w:rPr>
      </w:pPr>
      <w:sdt>
        <w:sdtPr>
          <w:rPr>
            <w:rFonts w:eastAsia="Times New Roman"/>
            <w:b/>
            <w:bCs/>
            <w:snapToGrid w:val="0"/>
            <w:sz w:val="22"/>
          </w:rPr>
          <w:id w:val="485756711"/>
          <w:placeholder>
            <w:docPart w:val="20718620AEC74B5DA97D65BB5DA7B075"/>
          </w:placeholder>
          <w:text/>
        </w:sdtPr>
        <w:sdtEndPr/>
        <w:sdtContent>
          <w:r w:rsidR="000E7FB5" w:rsidRPr="00462CCE">
            <w:rPr>
              <w:rFonts w:eastAsia="Times New Roman"/>
              <w:b/>
              <w:bCs/>
              <w:snapToGrid w:val="0"/>
              <w:sz w:val="22"/>
            </w:rPr>
            <w:t xml:space="preserve">City of Jacksonville – Public Works; Auld &amp; White Constructors, LLC; </w:t>
          </w:r>
        </w:sdtContent>
      </w:sdt>
      <w:r w:rsidR="000E7FB5" w:rsidRPr="00462CCE">
        <w:rPr>
          <w:rFonts w:eastAsia="Times New Roman"/>
          <w:b/>
          <w:bCs/>
          <w:snapToGrid w:val="0"/>
          <w:sz w:val="22"/>
        </w:rPr>
        <w:t xml:space="preserve"> W. Gardner, LLC</w:t>
      </w:r>
      <w:r w:rsidR="000E7FB5">
        <w:rPr>
          <w:rFonts w:eastAsia="Times New Roman"/>
          <w:b/>
          <w:bCs/>
          <w:snapToGrid w:val="0"/>
          <w:sz w:val="22"/>
        </w:rPr>
        <w:t xml:space="preserve"> - </w:t>
      </w:r>
      <w:r w:rsidR="000E7FB5" w:rsidRPr="00462CCE">
        <w:rPr>
          <w:i/>
          <w:iCs/>
          <w:sz w:val="22"/>
        </w:rPr>
        <w:t xml:space="preserve">[ESC-23-76 at 6575 Lenox Avenue] </w:t>
      </w:r>
      <w:r w:rsidR="000E7FB5" w:rsidRPr="00462CCE">
        <w:rPr>
          <w:sz w:val="22"/>
        </w:rPr>
        <w:t>Discharge of non-stormwater to City municipal separate storm sewer system (“MS4”); Failure to comply with erosion and sediment control requirements.</w:t>
      </w:r>
    </w:p>
    <w:p w14:paraId="35E5B48E" w14:textId="77777777" w:rsidR="000E7FB5" w:rsidRDefault="000E7FB5" w:rsidP="000E7FB5">
      <w:pPr>
        <w:rPr>
          <w:sz w:val="20"/>
          <w:szCs w:val="20"/>
        </w:rPr>
      </w:pPr>
    </w:p>
    <w:bookmarkEnd w:id="3"/>
    <w:p w14:paraId="484C8D24" w14:textId="77777777" w:rsidR="000E7FB5" w:rsidRPr="00462CCE" w:rsidRDefault="000E7FB5" w:rsidP="000E7FB5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Corrective Actions:</w:t>
      </w:r>
    </w:p>
    <w:sdt>
      <w:sdtPr>
        <w:rPr>
          <w:b/>
          <w:bCs/>
          <w:sz w:val="18"/>
          <w:szCs w:val="18"/>
        </w:rPr>
        <w:id w:val="-35578569"/>
        <w:placeholder>
          <w:docPart w:val="A54D8EC3703349D9ACE6371731C2DE1F"/>
        </w:placeholder>
      </w:sdtPr>
      <w:sdtEndPr>
        <w:rPr>
          <w:b w:val="0"/>
        </w:rPr>
      </w:sdtEndPr>
      <w:sdtContent>
        <w:p w14:paraId="3BCF8AF3" w14:textId="77777777" w:rsidR="000E7FB5" w:rsidRPr="00462CCE" w:rsidRDefault="000E7FB5" w:rsidP="000E7FB5">
          <w:pPr>
            <w:ind w:left="2160"/>
            <w:rPr>
              <w:bCs/>
              <w:sz w:val="18"/>
              <w:szCs w:val="18"/>
            </w:rPr>
          </w:pPr>
          <w:r w:rsidRPr="00462CCE">
            <w:rPr>
              <w:bCs/>
              <w:sz w:val="18"/>
              <w:szCs w:val="18"/>
            </w:rPr>
            <w:t>Silt fencing on the south perimeter</w:t>
          </w:r>
        </w:p>
      </w:sdtContent>
    </w:sdt>
    <w:p w14:paraId="24126332" w14:textId="77777777" w:rsidR="000E7FB5" w:rsidRPr="00462CCE" w:rsidRDefault="000E7FB5" w:rsidP="000E7FB5">
      <w:pPr>
        <w:ind w:left="2160"/>
        <w:rPr>
          <w:bCs/>
          <w:sz w:val="18"/>
          <w:szCs w:val="18"/>
          <w:u w:val="single"/>
        </w:rPr>
      </w:pPr>
    </w:p>
    <w:p w14:paraId="7074439D" w14:textId="77777777" w:rsidR="000E7FB5" w:rsidRPr="00462CCE" w:rsidRDefault="000E7FB5" w:rsidP="000E7FB5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 xml:space="preserve">Consent Order settlement fee: </w:t>
      </w:r>
    </w:p>
    <w:p w14:paraId="3752BEB2" w14:textId="77777777" w:rsidR="000E7FB5" w:rsidRPr="00462CCE" w:rsidRDefault="000E7FB5" w:rsidP="000E7FB5">
      <w:pPr>
        <w:ind w:left="2160"/>
        <w:rPr>
          <w:b/>
          <w:sz w:val="18"/>
          <w:szCs w:val="18"/>
        </w:rPr>
      </w:pPr>
      <w:r w:rsidRPr="00462CCE">
        <w:rPr>
          <w:b/>
          <w:sz w:val="18"/>
          <w:szCs w:val="18"/>
        </w:rPr>
        <w:t>$2</w:t>
      </w:r>
      <w:r>
        <w:rPr>
          <w:b/>
          <w:sz w:val="18"/>
          <w:szCs w:val="18"/>
        </w:rPr>
        <w:t>,</w:t>
      </w:r>
      <w:r w:rsidRPr="00462CCE">
        <w:rPr>
          <w:b/>
          <w:sz w:val="18"/>
          <w:szCs w:val="18"/>
        </w:rPr>
        <w:t>800</w:t>
      </w:r>
    </w:p>
    <w:p w14:paraId="7C6A726D" w14:textId="77777777" w:rsidR="000E7FB5" w:rsidRPr="00462CCE" w:rsidRDefault="000E7FB5" w:rsidP="000E7FB5">
      <w:pPr>
        <w:ind w:left="2160"/>
        <w:rPr>
          <w:bCs/>
          <w:sz w:val="18"/>
          <w:szCs w:val="18"/>
          <w:u w:val="single"/>
        </w:rPr>
      </w:pPr>
    </w:p>
    <w:p w14:paraId="1AB4AF8B" w14:textId="77777777" w:rsidR="000E7FB5" w:rsidRPr="00462CCE" w:rsidRDefault="000E7FB5" w:rsidP="000E7FB5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Consent Order requirements:</w:t>
      </w:r>
    </w:p>
    <w:p w14:paraId="20BF295C" w14:textId="77777777" w:rsidR="000E7FB5" w:rsidRPr="00462CCE" w:rsidRDefault="000E7FB5" w:rsidP="000E7FB5">
      <w:pPr>
        <w:ind w:left="2160"/>
        <w:rPr>
          <w:bCs/>
          <w:sz w:val="18"/>
          <w:szCs w:val="18"/>
        </w:rPr>
      </w:pPr>
      <w:r w:rsidRPr="00462CCE">
        <w:rPr>
          <w:bCs/>
          <w:sz w:val="18"/>
          <w:szCs w:val="18"/>
        </w:rPr>
        <w:t>Penalty payment only.</w:t>
      </w:r>
    </w:p>
    <w:p w14:paraId="60A27B4C" w14:textId="77777777" w:rsidR="000E7FB5" w:rsidRDefault="000E7FB5" w:rsidP="000E7FB5">
      <w:pPr>
        <w:ind w:left="2160"/>
        <w:rPr>
          <w:sz w:val="18"/>
          <w:szCs w:val="18"/>
        </w:rPr>
      </w:pPr>
    </w:p>
    <w:p w14:paraId="5460FA62" w14:textId="77777777" w:rsidR="000E7FB5" w:rsidRPr="00BA5A28" w:rsidRDefault="000E7FB5" w:rsidP="000E7FB5">
      <w:pPr>
        <w:ind w:left="2160"/>
        <w:rPr>
          <w:sz w:val="18"/>
          <w:szCs w:val="18"/>
        </w:rPr>
      </w:pPr>
    </w:p>
    <w:p w14:paraId="27727165" w14:textId="77777777" w:rsidR="000E7FB5" w:rsidRPr="00462CCE" w:rsidRDefault="000E7FB5" w:rsidP="000E7FB5">
      <w:pPr>
        <w:pStyle w:val="ListParagraph"/>
        <w:numPr>
          <w:ilvl w:val="0"/>
          <w:numId w:val="8"/>
        </w:numPr>
        <w:ind w:left="1440"/>
        <w:rPr>
          <w:sz w:val="22"/>
        </w:rPr>
      </w:pPr>
      <w:bookmarkStart w:id="5" w:name="_Hlk161127475"/>
      <w:r w:rsidRPr="00462CCE">
        <w:rPr>
          <w:b/>
          <w:bCs/>
          <w:sz w:val="22"/>
        </w:rPr>
        <w:t>Meritage Homes of Florida, Inc., and KT Carter Contracting, Inc.</w:t>
      </w:r>
      <w:r>
        <w:rPr>
          <w:b/>
          <w:bCs/>
          <w:sz w:val="22"/>
        </w:rPr>
        <w:t xml:space="preserve"> - </w:t>
      </w:r>
      <w:r w:rsidRPr="00462CCE">
        <w:rPr>
          <w:rFonts w:eastAsia="Arial"/>
          <w:b/>
          <w:bCs/>
          <w:color w:val="000000" w:themeColor="text1"/>
          <w:sz w:val="22"/>
        </w:rPr>
        <w:t xml:space="preserve"> </w:t>
      </w:r>
      <w:r w:rsidRPr="00462CCE">
        <w:rPr>
          <w:i/>
          <w:iCs/>
          <w:sz w:val="22"/>
        </w:rPr>
        <w:t xml:space="preserve">[ESC-24-03 at 0 Soutel Drive] </w:t>
      </w:r>
      <w:r w:rsidRPr="00462CCE">
        <w:rPr>
          <w:sz w:val="22"/>
        </w:rPr>
        <w:t xml:space="preserve">Discharge of non-stormwater to City municipal separate storm sewer system (“MS4”); Failure to comply with erosion and sediment control requirements.  </w:t>
      </w:r>
    </w:p>
    <w:p w14:paraId="6C7509D4" w14:textId="77777777" w:rsidR="000E7FB5" w:rsidRDefault="000E7FB5" w:rsidP="000E7FB5">
      <w:pPr>
        <w:ind w:left="1440"/>
        <w:rPr>
          <w:b/>
          <w:bCs/>
          <w:sz w:val="22"/>
        </w:rPr>
      </w:pPr>
    </w:p>
    <w:p w14:paraId="6106F78F" w14:textId="77777777" w:rsidR="000E7FB5" w:rsidRPr="00F5279A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F5279A">
        <w:rPr>
          <w:rFonts w:eastAsia="Times New Roman"/>
          <w:bCs/>
          <w:snapToGrid w:val="0"/>
          <w:sz w:val="18"/>
          <w:szCs w:val="18"/>
          <w:u w:val="single"/>
        </w:rPr>
        <w:t>Corrective Actions:</w:t>
      </w:r>
    </w:p>
    <w:p w14:paraId="6354185E" w14:textId="77777777" w:rsidR="000E7FB5" w:rsidRPr="00F5279A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</w:rPr>
      </w:pPr>
      <w:r w:rsidRPr="00F5279A">
        <w:rPr>
          <w:rFonts w:eastAsia="Times New Roman"/>
          <w:bCs/>
          <w:snapToGrid w:val="0"/>
          <w:sz w:val="18"/>
          <w:szCs w:val="18"/>
        </w:rPr>
        <w:t xml:space="preserve">NTC mailed on January 25, 2024 </w:t>
      </w:r>
    </w:p>
    <w:p w14:paraId="2C37ABCF" w14:textId="77777777" w:rsidR="000E7FB5" w:rsidRPr="00F5279A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</w:rPr>
      </w:pPr>
    </w:p>
    <w:p w14:paraId="6EC6FFFC" w14:textId="77777777" w:rsidR="000E7FB5" w:rsidRPr="00F5279A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F5279A">
        <w:rPr>
          <w:rFonts w:eastAsia="Times New Roman"/>
          <w:bCs/>
          <w:snapToGrid w:val="0"/>
          <w:sz w:val="18"/>
          <w:szCs w:val="18"/>
          <w:u w:val="single"/>
        </w:rPr>
        <w:t xml:space="preserve">Consent Order settlement fee: </w:t>
      </w:r>
    </w:p>
    <w:p w14:paraId="635753F1" w14:textId="77777777" w:rsidR="000E7FB5" w:rsidRPr="00F5279A" w:rsidRDefault="000E7FB5" w:rsidP="000E7FB5">
      <w:pPr>
        <w:widowControl w:val="0"/>
        <w:ind w:left="2160"/>
        <w:rPr>
          <w:rFonts w:eastAsia="Times New Roman"/>
          <w:b/>
          <w:snapToGrid w:val="0"/>
          <w:sz w:val="18"/>
          <w:szCs w:val="18"/>
        </w:rPr>
      </w:pPr>
      <w:r w:rsidRPr="00F5279A">
        <w:rPr>
          <w:rFonts w:eastAsia="Times New Roman"/>
          <w:b/>
          <w:snapToGrid w:val="0"/>
          <w:sz w:val="18"/>
          <w:szCs w:val="18"/>
        </w:rPr>
        <w:t>$3</w:t>
      </w:r>
      <w:r>
        <w:rPr>
          <w:rFonts w:eastAsia="Times New Roman"/>
          <w:b/>
          <w:snapToGrid w:val="0"/>
          <w:sz w:val="18"/>
          <w:szCs w:val="18"/>
        </w:rPr>
        <w:t>,</w:t>
      </w:r>
      <w:r w:rsidRPr="00F5279A">
        <w:rPr>
          <w:rFonts w:eastAsia="Times New Roman"/>
          <w:b/>
          <w:snapToGrid w:val="0"/>
          <w:sz w:val="18"/>
          <w:szCs w:val="18"/>
        </w:rPr>
        <w:t>500</w:t>
      </w:r>
    </w:p>
    <w:p w14:paraId="283C25E2" w14:textId="77777777" w:rsidR="000E7FB5" w:rsidRPr="00F5279A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</w:rPr>
      </w:pPr>
    </w:p>
    <w:p w14:paraId="26862712" w14:textId="77777777" w:rsidR="000E7FB5" w:rsidRPr="00F5279A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F5279A">
        <w:rPr>
          <w:rFonts w:eastAsia="Times New Roman"/>
          <w:bCs/>
          <w:snapToGrid w:val="0"/>
          <w:sz w:val="18"/>
          <w:szCs w:val="18"/>
          <w:u w:val="single"/>
        </w:rPr>
        <w:t>Consent Order requirements:</w:t>
      </w:r>
    </w:p>
    <w:p w14:paraId="03959A76" w14:textId="77777777" w:rsidR="000E7FB5" w:rsidRPr="00F5279A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</w:rPr>
      </w:pPr>
      <w:r w:rsidRPr="00F5279A">
        <w:rPr>
          <w:rFonts w:eastAsia="Times New Roman"/>
          <w:bCs/>
          <w:snapToGrid w:val="0"/>
          <w:sz w:val="18"/>
          <w:szCs w:val="18"/>
        </w:rPr>
        <w:t>Penalty payment only</w:t>
      </w:r>
    </w:p>
    <w:p w14:paraId="1D5347D5" w14:textId="77777777" w:rsidR="000E7FB5" w:rsidRDefault="000E7FB5" w:rsidP="000E7FB5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1EF77B3E" w14:textId="77777777" w:rsidR="000E7FB5" w:rsidRDefault="000E7FB5" w:rsidP="000E7FB5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173FAA3B" w14:textId="77777777" w:rsidR="000E7FB5" w:rsidRPr="00462CCE" w:rsidRDefault="000E7FB5" w:rsidP="000E7FB5">
      <w:pPr>
        <w:pStyle w:val="ListParagraph"/>
        <w:widowControl w:val="0"/>
        <w:numPr>
          <w:ilvl w:val="0"/>
          <w:numId w:val="8"/>
        </w:numPr>
        <w:ind w:left="1440"/>
        <w:jc w:val="both"/>
        <w:rPr>
          <w:rFonts w:eastAsia="Arial"/>
          <w:sz w:val="22"/>
        </w:rPr>
      </w:pPr>
      <w:r w:rsidRPr="00462CCE">
        <w:rPr>
          <w:rFonts w:eastAsia="Arial"/>
          <w:b/>
          <w:bCs/>
          <w:sz w:val="22"/>
        </w:rPr>
        <w:t>BCPF Cypress Plaza LLC, Foundry Commercial, LLC, W. Gardner, LLC, and Dana B. Kenyon Company</w:t>
      </w:r>
      <w:r>
        <w:rPr>
          <w:rFonts w:eastAsia="Arial"/>
          <w:b/>
          <w:bCs/>
          <w:sz w:val="22"/>
        </w:rPr>
        <w:t xml:space="preserve"> - </w:t>
      </w:r>
      <w:r w:rsidRPr="00462CCE">
        <w:rPr>
          <w:rFonts w:eastAsia="Arial"/>
          <w:sz w:val="22"/>
        </w:rPr>
        <w:t>[ESC-24-07 at 0 Cypress Plaza Drive] Discharge of non-stormwater to City municipal separate storm sewer system (“MS4”); Failure to comply with erosion and sediment control requirements.</w:t>
      </w:r>
    </w:p>
    <w:p w14:paraId="00724F76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bookmarkEnd w:id="5"/>
    <w:p w14:paraId="3C5F13EB" w14:textId="77777777" w:rsidR="000E7FB5" w:rsidRPr="00F5279A" w:rsidRDefault="000E7FB5" w:rsidP="000E7FB5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  <w:u w:val="single"/>
        </w:rPr>
      </w:pPr>
      <w:r w:rsidRPr="00F5279A">
        <w:rPr>
          <w:rFonts w:eastAsia="Times New Roman"/>
          <w:bCs/>
          <w:snapToGrid w:val="0"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/>
          <w:bCs/>
          <w:snapToGrid w:val="0"/>
          <w:sz w:val="18"/>
          <w:szCs w:val="18"/>
        </w:rPr>
        <w:id w:val="-462120619"/>
        <w:placeholder>
          <w:docPart w:val="AD57E55E7D5A49BBA122C57DBC7A873B"/>
        </w:placeholder>
      </w:sdtPr>
      <w:sdtEndPr>
        <w:rPr>
          <w:b w:val="0"/>
        </w:rPr>
      </w:sdtEndPr>
      <w:sdtContent>
        <w:p w14:paraId="268C051A" w14:textId="77777777" w:rsidR="000E7FB5" w:rsidRPr="00F5279A" w:rsidRDefault="000E7FB5" w:rsidP="000E7FB5">
          <w:pPr>
            <w:spacing w:line="223" w:lineRule="auto"/>
            <w:ind w:left="2160"/>
            <w:jc w:val="both"/>
            <w:rPr>
              <w:rFonts w:eastAsia="Times New Roman"/>
              <w:bCs/>
              <w:snapToGrid w:val="0"/>
              <w:sz w:val="18"/>
              <w:szCs w:val="18"/>
            </w:rPr>
          </w:pPr>
          <w:r w:rsidRPr="00F5279A">
            <w:rPr>
              <w:rFonts w:eastAsia="Times New Roman"/>
              <w:bCs/>
              <w:snapToGrid w:val="0"/>
              <w:sz w:val="18"/>
              <w:szCs w:val="18"/>
            </w:rPr>
            <w:t xml:space="preserve">Improved or modified BMP </w:t>
          </w:r>
        </w:p>
      </w:sdtContent>
    </w:sdt>
    <w:p w14:paraId="64AC7682" w14:textId="77777777" w:rsidR="000E7FB5" w:rsidRPr="00F5279A" w:rsidRDefault="000E7FB5" w:rsidP="000E7FB5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  <w:u w:val="single"/>
        </w:rPr>
      </w:pPr>
    </w:p>
    <w:p w14:paraId="474B3EAE" w14:textId="77777777" w:rsidR="000E7FB5" w:rsidRPr="00F5279A" w:rsidRDefault="000E7FB5" w:rsidP="000E7FB5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  <w:u w:val="single"/>
        </w:rPr>
      </w:pPr>
      <w:r w:rsidRPr="00F5279A">
        <w:rPr>
          <w:rFonts w:eastAsia="Times New Roman"/>
          <w:bCs/>
          <w:snapToGrid w:val="0"/>
          <w:sz w:val="18"/>
          <w:szCs w:val="18"/>
          <w:u w:val="single"/>
        </w:rPr>
        <w:t xml:space="preserve">Consent Order settlement fee: </w:t>
      </w:r>
    </w:p>
    <w:p w14:paraId="2CB070CE" w14:textId="77777777" w:rsidR="000E7FB5" w:rsidRPr="00F5279A" w:rsidRDefault="000E7FB5" w:rsidP="000E7FB5">
      <w:pPr>
        <w:spacing w:line="223" w:lineRule="auto"/>
        <w:ind w:left="2160"/>
        <w:jc w:val="both"/>
        <w:rPr>
          <w:rFonts w:eastAsia="Times New Roman"/>
          <w:b/>
          <w:snapToGrid w:val="0"/>
          <w:sz w:val="18"/>
          <w:szCs w:val="18"/>
        </w:rPr>
      </w:pPr>
      <w:r w:rsidRPr="00F5279A">
        <w:rPr>
          <w:rFonts w:eastAsia="Times New Roman"/>
          <w:b/>
          <w:snapToGrid w:val="0"/>
          <w:sz w:val="18"/>
          <w:szCs w:val="18"/>
        </w:rPr>
        <w:t>$3</w:t>
      </w:r>
      <w:r>
        <w:rPr>
          <w:rFonts w:eastAsia="Times New Roman"/>
          <w:b/>
          <w:snapToGrid w:val="0"/>
          <w:sz w:val="18"/>
          <w:szCs w:val="18"/>
        </w:rPr>
        <w:t>,</w:t>
      </w:r>
      <w:r w:rsidRPr="00F5279A">
        <w:rPr>
          <w:rFonts w:eastAsia="Times New Roman"/>
          <w:b/>
          <w:snapToGrid w:val="0"/>
          <w:sz w:val="18"/>
          <w:szCs w:val="18"/>
        </w:rPr>
        <w:t>500.</w:t>
      </w:r>
    </w:p>
    <w:p w14:paraId="07E44F47" w14:textId="77777777" w:rsidR="000E7FB5" w:rsidRPr="00F5279A" w:rsidRDefault="000E7FB5" w:rsidP="000E7FB5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  <w:u w:val="single"/>
        </w:rPr>
      </w:pPr>
    </w:p>
    <w:p w14:paraId="5CC2125C" w14:textId="77777777" w:rsidR="000E7FB5" w:rsidRPr="00F5279A" w:rsidRDefault="000E7FB5" w:rsidP="000E7FB5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  <w:u w:val="single"/>
        </w:rPr>
      </w:pPr>
      <w:r w:rsidRPr="00F5279A">
        <w:rPr>
          <w:rFonts w:eastAsia="Times New Roman"/>
          <w:bCs/>
          <w:snapToGrid w:val="0"/>
          <w:sz w:val="18"/>
          <w:szCs w:val="18"/>
          <w:u w:val="single"/>
        </w:rPr>
        <w:t>Consent Order requirements:</w:t>
      </w:r>
    </w:p>
    <w:p w14:paraId="1C473CC6" w14:textId="77777777" w:rsidR="000E7FB5" w:rsidRPr="00F5279A" w:rsidRDefault="000E7FB5" w:rsidP="000E7FB5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</w:rPr>
      </w:pPr>
      <w:r w:rsidRPr="00F5279A">
        <w:rPr>
          <w:rFonts w:eastAsia="Times New Roman"/>
          <w:bCs/>
          <w:snapToGrid w:val="0"/>
          <w:sz w:val="18"/>
          <w:szCs w:val="18"/>
        </w:rPr>
        <w:t>Penalty payment only.</w:t>
      </w:r>
    </w:p>
    <w:p w14:paraId="73F33A3D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550E2CD8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1BDB4FE2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47945CC7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21B829AB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312343C3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30EB63FC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516793B6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0D9A8CCE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7D186C96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2D0AA7B6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0CD0B648" w14:textId="77777777" w:rsidR="000E7FB5" w:rsidRPr="00390B4F" w:rsidRDefault="000E7FB5" w:rsidP="000E7FB5">
      <w:pPr>
        <w:pStyle w:val="ListParagraph"/>
        <w:numPr>
          <w:ilvl w:val="0"/>
          <w:numId w:val="8"/>
        </w:numPr>
        <w:spacing w:line="223" w:lineRule="auto"/>
        <w:ind w:left="1440"/>
        <w:jc w:val="both"/>
        <w:rPr>
          <w:sz w:val="22"/>
        </w:rPr>
      </w:pPr>
      <w:r w:rsidRPr="00390B4F">
        <w:rPr>
          <w:b/>
          <w:bCs/>
          <w:sz w:val="22"/>
        </w:rPr>
        <w:lastRenderedPageBreak/>
        <w:t>American Classic Homes, LLC, Atlee Development Group, Inc., ACO Construction, LLC</w:t>
      </w:r>
      <w:r>
        <w:rPr>
          <w:b/>
          <w:bCs/>
          <w:sz w:val="22"/>
        </w:rPr>
        <w:t xml:space="preserve"> - </w:t>
      </w:r>
      <w:r w:rsidRPr="00390B4F">
        <w:rPr>
          <w:sz w:val="22"/>
        </w:rPr>
        <w:t>[ESC-24-10 at 8714 Lenox Ave [RE]008756-0000, 1301 Hammond Blvd [RE]008777-6000, 1305 Hammond Blvd [RE]008779-0000] Discharge of non-stormwater to City municipal separate storm sewer system (“MS4”); Failure to comply with erosion and sediment control requirements.</w:t>
      </w:r>
    </w:p>
    <w:p w14:paraId="3DED8E5F" w14:textId="77777777" w:rsidR="000E7FB5" w:rsidRDefault="000E7FB5" w:rsidP="000E7FB5">
      <w:pPr>
        <w:spacing w:line="223" w:lineRule="auto"/>
        <w:ind w:left="1440"/>
        <w:jc w:val="both"/>
        <w:rPr>
          <w:b/>
          <w:sz w:val="22"/>
        </w:rPr>
      </w:pPr>
    </w:p>
    <w:p w14:paraId="5D7B9E6A" w14:textId="77777777" w:rsidR="000E7FB5" w:rsidRPr="00390B4F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</w:rPr>
      </w:pPr>
      <w:r w:rsidRPr="00390B4F">
        <w:rPr>
          <w:rFonts w:eastAsia="Times New Roman"/>
          <w:bCs/>
          <w:snapToGrid w:val="0"/>
          <w:sz w:val="18"/>
          <w:szCs w:val="18"/>
          <w:u w:val="single"/>
        </w:rPr>
        <w:t>Corrective Actions:</w:t>
      </w:r>
    </w:p>
    <w:p w14:paraId="6A79226B" w14:textId="77777777" w:rsidR="000E7FB5" w:rsidRPr="00390B4F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</w:rPr>
      </w:pPr>
      <w:r w:rsidRPr="00390B4F">
        <w:rPr>
          <w:rFonts w:eastAsia="Times New Roman"/>
          <w:bCs/>
          <w:snapToGrid w:val="0"/>
          <w:sz w:val="18"/>
          <w:szCs w:val="18"/>
        </w:rPr>
        <w:t xml:space="preserve">Updated BMP Assessment and removed debris from Hammon Blvd. </w:t>
      </w:r>
    </w:p>
    <w:p w14:paraId="442A61E0" w14:textId="77777777" w:rsidR="000E7FB5" w:rsidRPr="00390B4F" w:rsidRDefault="000E7FB5" w:rsidP="000E7FB5">
      <w:pPr>
        <w:widowControl w:val="0"/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</w:p>
    <w:p w14:paraId="28F9A3A5" w14:textId="77777777" w:rsidR="000E7FB5" w:rsidRPr="00390B4F" w:rsidRDefault="000E7FB5" w:rsidP="000E7FB5">
      <w:pPr>
        <w:widowControl w:val="0"/>
        <w:ind w:left="2160"/>
        <w:rPr>
          <w:rFonts w:eastAsia="Times New Roman"/>
          <w:snapToGrid w:val="0"/>
          <w:sz w:val="18"/>
          <w:szCs w:val="18"/>
          <w:u w:val="single"/>
        </w:rPr>
      </w:pPr>
      <w:r w:rsidRPr="00390B4F">
        <w:rPr>
          <w:rFonts w:eastAsia="Times New Roman"/>
          <w:snapToGrid w:val="0"/>
          <w:sz w:val="18"/>
          <w:szCs w:val="18"/>
          <w:u w:val="single"/>
        </w:rPr>
        <w:t xml:space="preserve">Consent Order settlement fee: </w:t>
      </w:r>
    </w:p>
    <w:p w14:paraId="0C07BF8B" w14:textId="77777777" w:rsidR="000E7FB5" w:rsidRPr="00390B4F" w:rsidRDefault="000E7FB5" w:rsidP="000E7FB5">
      <w:pPr>
        <w:widowControl w:val="0"/>
        <w:ind w:left="2160"/>
        <w:rPr>
          <w:rFonts w:eastAsia="Times New Roman"/>
          <w:b/>
          <w:bCs/>
          <w:snapToGrid w:val="0"/>
          <w:sz w:val="18"/>
          <w:szCs w:val="18"/>
        </w:rPr>
      </w:pPr>
      <w:r w:rsidRPr="00390B4F">
        <w:rPr>
          <w:rFonts w:eastAsia="Times New Roman"/>
          <w:b/>
          <w:bCs/>
          <w:snapToGrid w:val="0"/>
          <w:sz w:val="18"/>
          <w:szCs w:val="18"/>
        </w:rPr>
        <w:t>$3,500</w:t>
      </w:r>
    </w:p>
    <w:p w14:paraId="204BFFBB" w14:textId="77777777" w:rsidR="000E7FB5" w:rsidRPr="00390B4F" w:rsidRDefault="000E7FB5" w:rsidP="000E7FB5">
      <w:pPr>
        <w:widowControl w:val="0"/>
        <w:ind w:left="2160"/>
        <w:rPr>
          <w:rFonts w:eastAsia="Times New Roman"/>
          <w:snapToGrid w:val="0"/>
          <w:sz w:val="18"/>
          <w:szCs w:val="18"/>
        </w:rPr>
      </w:pPr>
    </w:p>
    <w:p w14:paraId="1E9E604F" w14:textId="77777777" w:rsidR="000E7FB5" w:rsidRPr="00390B4F" w:rsidRDefault="000E7FB5" w:rsidP="000E7FB5">
      <w:pPr>
        <w:widowControl w:val="0"/>
        <w:ind w:left="2160"/>
        <w:rPr>
          <w:rFonts w:eastAsia="Times New Roman"/>
          <w:snapToGrid w:val="0"/>
          <w:sz w:val="18"/>
          <w:szCs w:val="18"/>
        </w:rPr>
      </w:pPr>
      <w:r w:rsidRPr="00390B4F">
        <w:rPr>
          <w:rFonts w:eastAsia="Times New Roman"/>
          <w:snapToGrid w:val="0"/>
          <w:sz w:val="18"/>
          <w:szCs w:val="18"/>
          <w:u w:val="single"/>
        </w:rPr>
        <w:t>Consent Order requirements</w:t>
      </w:r>
      <w:r w:rsidRPr="00390B4F">
        <w:rPr>
          <w:rFonts w:eastAsia="Times New Roman"/>
          <w:snapToGrid w:val="0"/>
          <w:sz w:val="18"/>
          <w:szCs w:val="18"/>
        </w:rPr>
        <w:t>:</w:t>
      </w:r>
    </w:p>
    <w:p w14:paraId="3CE17318" w14:textId="77777777" w:rsidR="000E7FB5" w:rsidRPr="00390B4F" w:rsidRDefault="000E7FB5" w:rsidP="000E7FB5">
      <w:pPr>
        <w:widowControl w:val="0"/>
        <w:ind w:left="2160"/>
        <w:rPr>
          <w:rFonts w:eastAsia="Times New Roman"/>
          <w:snapToGrid w:val="0"/>
          <w:sz w:val="18"/>
          <w:szCs w:val="18"/>
        </w:rPr>
      </w:pPr>
      <w:r w:rsidRPr="00390B4F">
        <w:rPr>
          <w:rFonts w:eastAsia="Times New Roman"/>
          <w:snapToGrid w:val="0"/>
          <w:sz w:val="18"/>
          <w:szCs w:val="18"/>
        </w:rPr>
        <w:t>None</w:t>
      </w:r>
    </w:p>
    <w:p w14:paraId="300922A2" w14:textId="77777777" w:rsidR="000E7FB5" w:rsidRDefault="000E7FB5" w:rsidP="000E7FB5">
      <w:pPr>
        <w:spacing w:line="223" w:lineRule="auto"/>
        <w:ind w:left="1440"/>
        <w:jc w:val="both"/>
        <w:rPr>
          <w:b/>
          <w:sz w:val="22"/>
        </w:rPr>
      </w:pPr>
    </w:p>
    <w:p w14:paraId="69825C31" w14:textId="77777777" w:rsidR="000E7FB5" w:rsidRPr="00390B4F" w:rsidRDefault="000E7FB5" w:rsidP="000E7FB5">
      <w:pPr>
        <w:spacing w:line="223" w:lineRule="auto"/>
        <w:ind w:left="1440"/>
        <w:jc w:val="both"/>
        <w:rPr>
          <w:b/>
          <w:sz w:val="22"/>
        </w:rPr>
      </w:pPr>
    </w:p>
    <w:p w14:paraId="4917BE9C" w14:textId="77777777" w:rsidR="000E7FB5" w:rsidRPr="00390B4F" w:rsidRDefault="000E7FB5" w:rsidP="000E7FB5">
      <w:pPr>
        <w:pStyle w:val="ListParagraph"/>
        <w:numPr>
          <w:ilvl w:val="0"/>
          <w:numId w:val="8"/>
        </w:numPr>
        <w:spacing w:line="223" w:lineRule="auto"/>
        <w:ind w:left="1440"/>
        <w:jc w:val="both"/>
        <w:rPr>
          <w:i/>
          <w:iCs/>
          <w:sz w:val="22"/>
        </w:rPr>
      </w:pPr>
      <w:r w:rsidRPr="00390B4F">
        <w:rPr>
          <w:b/>
          <w:bCs/>
          <w:sz w:val="22"/>
        </w:rPr>
        <w:t>Bachelor Properties II, LLC and Crud Busters, LLC</w:t>
      </w:r>
      <w:r>
        <w:rPr>
          <w:b/>
          <w:bCs/>
          <w:sz w:val="22"/>
        </w:rPr>
        <w:t xml:space="preserve"> - </w:t>
      </w:r>
      <w:r w:rsidRPr="00390B4F">
        <w:rPr>
          <w:i/>
          <w:iCs/>
          <w:sz w:val="22"/>
        </w:rPr>
        <w:t xml:space="preserve">[WP-23-70 at 108 Copeland Street] </w:t>
      </w:r>
      <w:r w:rsidRPr="00390B4F">
        <w:rPr>
          <w:sz w:val="22"/>
        </w:rPr>
        <w:t>Discharge of untreated wastewater to the ground, surrounding environment and stormwater draining to MS4; Allowing untreated wastewater into the storm sewer system</w:t>
      </w:r>
    </w:p>
    <w:p w14:paraId="2EF83559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03236689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</w:rPr>
      </w:pPr>
      <w:r w:rsidRPr="00390B4F">
        <w:rPr>
          <w:rFonts w:eastAsia="Times New Roman" w:cs="Arial"/>
          <w:bCs/>
          <w:snapToGrid w:val="0"/>
          <w:sz w:val="18"/>
          <w:szCs w:val="18"/>
          <w:u w:val="single"/>
        </w:rPr>
        <w:t>Corrective Actions:</w:t>
      </w:r>
    </w:p>
    <w:p w14:paraId="00214906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b/>
          <w:snapToGrid w:val="0"/>
          <w:sz w:val="18"/>
          <w:szCs w:val="18"/>
        </w:rPr>
      </w:pPr>
      <w:r w:rsidRPr="00390B4F">
        <w:rPr>
          <w:rFonts w:eastAsia="Times New Roman" w:cs="Arial"/>
          <w:bCs/>
          <w:snapToGrid w:val="0"/>
          <w:sz w:val="18"/>
          <w:szCs w:val="18"/>
        </w:rPr>
        <w:t>Block drains with a liner, sandbags, hay, and additional screen.  Work has completed</w:t>
      </w:r>
      <w:r w:rsidRPr="00390B4F">
        <w:rPr>
          <w:rFonts w:eastAsia="Times New Roman" w:cs="Arial"/>
          <w:b/>
          <w:snapToGrid w:val="0"/>
          <w:sz w:val="18"/>
          <w:szCs w:val="18"/>
        </w:rPr>
        <w:t xml:space="preserve"> </w:t>
      </w:r>
    </w:p>
    <w:p w14:paraId="17FB27F4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  <w:u w:val="single"/>
        </w:rPr>
      </w:pPr>
    </w:p>
    <w:p w14:paraId="19386BAB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  <w:u w:val="single"/>
        </w:rPr>
      </w:pPr>
      <w:r w:rsidRPr="00390B4F">
        <w:rPr>
          <w:rFonts w:eastAsia="Times New Roman" w:cs="Arial"/>
          <w:snapToGrid w:val="0"/>
          <w:sz w:val="18"/>
          <w:szCs w:val="18"/>
          <w:u w:val="single"/>
        </w:rPr>
        <w:t xml:space="preserve">Consent Order settlement fee: </w:t>
      </w:r>
    </w:p>
    <w:p w14:paraId="248732E6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b/>
          <w:bCs/>
          <w:snapToGrid w:val="0"/>
          <w:sz w:val="18"/>
          <w:szCs w:val="18"/>
        </w:rPr>
      </w:pPr>
      <w:r w:rsidRPr="00390B4F">
        <w:rPr>
          <w:rFonts w:eastAsia="Times New Roman" w:cs="Arial"/>
          <w:b/>
          <w:bCs/>
          <w:snapToGrid w:val="0"/>
          <w:sz w:val="18"/>
          <w:szCs w:val="18"/>
        </w:rPr>
        <w:t>$500</w:t>
      </w:r>
    </w:p>
    <w:p w14:paraId="71B868BC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</w:p>
    <w:p w14:paraId="4A96E391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  <w:r w:rsidRPr="00390B4F">
        <w:rPr>
          <w:rFonts w:eastAsia="Times New Roman" w:cs="Arial"/>
          <w:snapToGrid w:val="0"/>
          <w:sz w:val="18"/>
          <w:szCs w:val="18"/>
          <w:u w:val="single"/>
        </w:rPr>
        <w:t>Consent Order requirements</w:t>
      </w:r>
      <w:r w:rsidRPr="00390B4F">
        <w:rPr>
          <w:rFonts w:eastAsia="Times New Roman" w:cs="Arial"/>
          <w:snapToGrid w:val="0"/>
          <w:sz w:val="18"/>
          <w:szCs w:val="18"/>
        </w:rPr>
        <w:t>:</w:t>
      </w:r>
    </w:p>
    <w:p w14:paraId="19A5017A" w14:textId="77777777" w:rsidR="000E7FB5" w:rsidRPr="00390B4F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  <w:r w:rsidRPr="00390B4F">
        <w:rPr>
          <w:rFonts w:eastAsia="Times New Roman" w:cs="Arial"/>
          <w:snapToGrid w:val="0"/>
          <w:sz w:val="18"/>
          <w:szCs w:val="18"/>
        </w:rPr>
        <w:t>Payment only.</w:t>
      </w:r>
    </w:p>
    <w:p w14:paraId="6A3669F4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448B9E2A" w14:textId="77777777" w:rsidR="000E7FB5" w:rsidRPr="00390B4F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3B3F9A02" w14:textId="77777777" w:rsidR="000E7FB5" w:rsidRPr="00390B4F" w:rsidRDefault="000E7FB5" w:rsidP="000E7FB5">
      <w:pPr>
        <w:pStyle w:val="ListParagraph"/>
        <w:numPr>
          <w:ilvl w:val="0"/>
          <w:numId w:val="8"/>
        </w:numPr>
        <w:spacing w:line="223" w:lineRule="auto"/>
        <w:ind w:left="1440"/>
        <w:jc w:val="both"/>
        <w:rPr>
          <w:b/>
          <w:sz w:val="22"/>
        </w:rPr>
      </w:pPr>
      <w:r w:rsidRPr="00390B4F">
        <w:rPr>
          <w:b/>
          <w:bCs/>
          <w:sz w:val="22"/>
        </w:rPr>
        <w:t>Isaiah 117 House Property LLC, Daymon Well Drilling and Pump Services, LLC</w:t>
      </w:r>
      <w:r>
        <w:rPr>
          <w:b/>
          <w:bCs/>
          <w:sz w:val="22"/>
        </w:rPr>
        <w:t xml:space="preserve"> - </w:t>
      </w:r>
      <w:r w:rsidRPr="00390B4F">
        <w:rPr>
          <w:i/>
          <w:iCs/>
          <w:sz w:val="22"/>
        </w:rPr>
        <w:t xml:space="preserve">[GW-24-01 at </w:t>
      </w:r>
      <w:r w:rsidRPr="00390B4F">
        <w:rPr>
          <w:sz w:val="22"/>
        </w:rPr>
        <w:t xml:space="preserve">3724 </w:t>
      </w:r>
      <w:proofErr w:type="spellStart"/>
      <w:r w:rsidRPr="00390B4F">
        <w:rPr>
          <w:sz w:val="22"/>
        </w:rPr>
        <w:t>Marbon</w:t>
      </w:r>
      <w:proofErr w:type="spellEnd"/>
      <w:r w:rsidRPr="00390B4F">
        <w:rPr>
          <w:sz w:val="22"/>
        </w:rPr>
        <w:t xml:space="preserve"> Road</w:t>
      </w:r>
      <w:r w:rsidRPr="00390B4F">
        <w:rPr>
          <w:i/>
          <w:iCs/>
          <w:sz w:val="22"/>
        </w:rPr>
        <w:t xml:space="preserve">] </w:t>
      </w:r>
      <w:r w:rsidRPr="00390B4F">
        <w:rPr>
          <w:sz w:val="22"/>
        </w:rPr>
        <w:t>Construction of a well without a permit</w:t>
      </w:r>
      <w:r w:rsidRPr="00390B4F">
        <w:rPr>
          <w:b/>
          <w:sz w:val="22"/>
        </w:rPr>
        <w:t xml:space="preserve"> </w:t>
      </w:r>
    </w:p>
    <w:p w14:paraId="12041605" w14:textId="77777777" w:rsidR="000E7FB5" w:rsidRDefault="000E7FB5" w:rsidP="000E7FB5">
      <w:pPr>
        <w:spacing w:line="223" w:lineRule="auto"/>
        <w:ind w:left="1440"/>
        <w:jc w:val="both"/>
        <w:rPr>
          <w:sz w:val="22"/>
        </w:rPr>
      </w:pPr>
    </w:p>
    <w:p w14:paraId="41CD88BF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</w:rPr>
      </w:pPr>
      <w:r w:rsidRPr="00C265ED">
        <w:rPr>
          <w:rFonts w:eastAsia="Times New Roman" w:cs="Arial"/>
          <w:bCs/>
          <w:snapToGrid w:val="0"/>
          <w:sz w:val="18"/>
          <w:szCs w:val="18"/>
          <w:u w:val="single"/>
        </w:rPr>
        <w:t>Corrective Actions:</w:t>
      </w:r>
    </w:p>
    <w:p w14:paraId="0503D371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</w:rPr>
      </w:pPr>
      <w:r w:rsidRPr="00C265ED">
        <w:rPr>
          <w:rFonts w:eastAsia="Times New Roman" w:cs="Arial"/>
          <w:bCs/>
          <w:snapToGrid w:val="0"/>
          <w:sz w:val="18"/>
          <w:szCs w:val="18"/>
        </w:rPr>
        <w:t xml:space="preserve">Compliance assistance </w:t>
      </w:r>
    </w:p>
    <w:p w14:paraId="7ED35789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Cs/>
          <w:snapToGrid w:val="0"/>
          <w:sz w:val="18"/>
          <w:szCs w:val="18"/>
          <w:u w:val="single"/>
        </w:rPr>
      </w:pPr>
    </w:p>
    <w:p w14:paraId="0CD21989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  <w:u w:val="single"/>
        </w:rPr>
      </w:pPr>
      <w:r w:rsidRPr="00C265ED">
        <w:rPr>
          <w:rFonts w:eastAsia="Times New Roman" w:cs="Arial"/>
          <w:snapToGrid w:val="0"/>
          <w:sz w:val="18"/>
          <w:szCs w:val="18"/>
          <w:u w:val="single"/>
        </w:rPr>
        <w:t xml:space="preserve">Consent Order settlement fee: </w:t>
      </w:r>
    </w:p>
    <w:p w14:paraId="732A4C7F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b/>
          <w:bCs/>
          <w:snapToGrid w:val="0"/>
          <w:sz w:val="18"/>
          <w:szCs w:val="18"/>
        </w:rPr>
      </w:pPr>
      <w:r w:rsidRPr="00C265ED">
        <w:rPr>
          <w:rFonts w:eastAsia="Times New Roman" w:cs="Arial"/>
          <w:b/>
          <w:bCs/>
          <w:snapToGrid w:val="0"/>
          <w:sz w:val="18"/>
          <w:szCs w:val="18"/>
        </w:rPr>
        <w:t>$300</w:t>
      </w:r>
    </w:p>
    <w:p w14:paraId="38C59907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</w:p>
    <w:p w14:paraId="0F8C62CF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  <w:r w:rsidRPr="00C265ED">
        <w:rPr>
          <w:rFonts w:eastAsia="Times New Roman" w:cs="Arial"/>
          <w:snapToGrid w:val="0"/>
          <w:sz w:val="18"/>
          <w:szCs w:val="18"/>
          <w:u w:val="single"/>
        </w:rPr>
        <w:t>Consent Order requirements</w:t>
      </w:r>
      <w:r w:rsidRPr="00C265ED">
        <w:rPr>
          <w:rFonts w:eastAsia="Times New Roman" w:cs="Arial"/>
          <w:snapToGrid w:val="0"/>
          <w:sz w:val="18"/>
          <w:szCs w:val="18"/>
        </w:rPr>
        <w:t>:</w:t>
      </w:r>
    </w:p>
    <w:p w14:paraId="17B75AB2" w14:textId="77777777" w:rsidR="000E7FB5" w:rsidRPr="00C265ED" w:rsidRDefault="000E7FB5" w:rsidP="000E7FB5">
      <w:pPr>
        <w:widowControl w:val="0"/>
        <w:ind w:left="2160"/>
        <w:rPr>
          <w:rFonts w:eastAsia="Times New Roman" w:cs="Arial"/>
          <w:snapToGrid w:val="0"/>
          <w:sz w:val="18"/>
          <w:szCs w:val="18"/>
        </w:rPr>
      </w:pPr>
      <w:r w:rsidRPr="00C265ED">
        <w:rPr>
          <w:rFonts w:eastAsia="Times New Roman" w:cs="Arial"/>
          <w:snapToGrid w:val="0"/>
          <w:sz w:val="18"/>
          <w:szCs w:val="18"/>
        </w:rPr>
        <w:t>Payment only</w:t>
      </w:r>
    </w:p>
    <w:p w14:paraId="7BDE7884" w14:textId="77777777" w:rsidR="00B14080" w:rsidRPr="00C5286D" w:rsidRDefault="00B14080" w:rsidP="00B14080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20C25345" w14:textId="2D0794D0" w:rsidR="00B14080" w:rsidRPr="00133232" w:rsidRDefault="00B14080" w:rsidP="00B14080">
      <w:pPr>
        <w:rPr>
          <w:rFonts w:eastAsia="Times New Roman" w:cs="Arial"/>
          <w:bCs/>
          <w:snapToGrid w:val="0"/>
          <w:szCs w:val="24"/>
        </w:rPr>
      </w:pPr>
      <w:r w:rsidRPr="00133232">
        <w:rPr>
          <w:rFonts w:eastAsia="Times New Roman" w:cs="Arial"/>
          <w:bCs/>
          <w:snapToGrid w:val="0"/>
          <w:szCs w:val="24"/>
        </w:rPr>
        <w:t>A motion was made to approve</w:t>
      </w:r>
      <w:r>
        <w:rPr>
          <w:rFonts w:eastAsia="Times New Roman" w:cs="Arial"/>
          <w:bCs/>
          <w:snapToGrid w:val="0"/>
          <w:szCs w:val="24"/>
        </w:rPr>
        <w:t xml:space="preserve"> </w:t>
      </w:r>
      <w:r w:rsidRPr="00133232">
        <w:rPr>
          <w:rFonts w:eastAsia="Times New Roman" w:cs="Arial"/>
          <w:bCs/>
          <w:snapToGrid w:val="0"/>
          <w:szCs w:val="24"/>
        </w:rPr>
        <w:t xml:space="preserve">the </w:t>
      </w:r>
      <w:r>
        <w:rPr>
          <w:rFonts w:eastAsia="Times New Roman" w:cs="Arial"/>
          <w:bCs/>
          <w:snapToGrid w:val="0"/>
          <w:szCs w:val="24"/>
        </w:rPr>
        <w:t xml:space="preserve">Water </w:t>
      </w:r>
      <w:r w:rsidRPr="00133232">
        <w:rPr>
          <w:rFonts w:eastAsia="Times New Roman" w:cs="Arial"/>
          <w:bCs/>
          <w:snapToGrid w:val="0"/>
          <w:szCs w:val="24"/>
        </w:rPr>
        <w:t>consent orders as presented (</w:t>
      </w:r>
      <w:r w:rsidR="000E7FB5">
        <w:rPr>
          <w:rFonts w:eastAsia="Times New Roman" w:cs="Arial"/>
          <w:bCs/>
          <w:snapToGrid w:val="0"/>
          <w:szCs w:val="24"/>
        </w:rPr>
        <w:t>Simon</w:t>
      </w:r>
      <w:r w:rsidRPr="00133232">
        <w:rPr>
          <w:rFonts w:eastAsia="Times New Roman" w:cs="Arial"/>
          <w:bCs/>
          <w:snapToGrid w:val="0"/>
          <w:szCs w:val="24"/>
        </w:rPr>
        <w:t>), properly seconded (</w:t>
      </w:r>
      <w:r>
        <w:rPr>
          <w:rFonts w:eastAsia="Times New Roman" w:cs="Arial"/>
          <w:bCs/>
          <w:snapToGrid w:val="0"/>
          <w:szCs w:val="24"/>
        </w:rPr>
        <w:t>Noble</w:t>
      </w:r>
      <w:r w:rsidRPr="00133232">
        <w:rPr>
          <w:rFonts w:eastAsia="Times New Roman" w:cs="Arial"/>
          <w:bCs/>
          <w:snapToGrid w:val="0"/>
          <w:szCs w:val="24"/>
        </w:rPr>
        <w:t>) and approved by the body.</w:t>
      </w:r>
    </w:p>
    <w:bookmarkEnd w:id="4"/>
    <w:p w14:paraId="5A014685" w14:textId="77777777" w:rsidR="00B14080" w:rsidRDefault="00B14080" w:rsidP="00B14080">
      <w:pPr>
        <w:rPr>
          <w:rFonts w:eastAsia="Times New Roman" w:cs="Arial"/>
          <w:bCs/>
          <w:snapToGrid w:val="0"/>
          <w:sz w:val="21"/>
          <w:szCs w:val="21"/>
        </w:rPr>
      </w:pPr>
    </w:p>
    <w:p w14:paraId="7DFB4EF4" w14:textId="068C0606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NFORCEMENT REPORT 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JAMES RICHARDSON</w:t>
      </w:r>
    </w:p>
    <w:p w14:paraId="2D10E366" w14:textId="16E4B998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There were no questions or concerns.</w:t>
      </w:r>
    </w:p>
    <w:p w14:paraId="7BF08429" w14:textId="77777777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</w:p>
    <w:p w14:paraId="550B1D5E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NEW BUSINESS</w:t>
      </w:r>
    </w:p>
    <w:p w14:paraId="26727E62" w14:textId="01BDE403" w:rsidR="00B14080" w:rsidRDefault="00B14080" w:rsidP="00B14080">
      <w:pPr>
        <w:numPr>
          <w:ilvl w:val="1"/>
          <w:numId w:val="5"/>
        </w:numPr>
        <w:ind w:left="720" w:hanging="1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Noise Variance Request – </w:t>
      </w:r>
      <w:r w:rsidR="000E7FB5">
        <w:rPr>
          <w:rFonts w:ascii="Century Gothic" w:hAnsi="Century Gothic"/>
          <w:sz w:val="22"/>
        </w:rPr>
        <w:t>Blue Ocean Construction</w:t>
      </w:r>
    </w:p>
    <w:p w14:paraId="11674A46" w14:textId="77777777" w:rsidR="00B14080" w:rsidRDefault="00B14080" w:rsidP="00B14080">
      <w:pPr>
        <w:numPr>
          <w:ilvl w:val="2"/>
          <w:numId w:val="5"/>
        </w:numPr>
        <w:ind w:left="1800"/>
        <w:rPr>
          <w:rFonts w:ascii="Century Gothic" w:hAnsi="Century Gothic"/>
          <w:sz w:val="22"/>
        </w:rPr>
      </w:pPr>
      <w:bookmarkStart w:id="6" w:name="_Hlk150512030"/>
      <w:r w:rsidRPr="00C06AEF">
        <w:rPr>
          <w:rFonts w:ascii="Century Gothic" w:hAnsi="Century Gothic"/>
          <w:sz w:val="22"/>
        </w:rPr>
        <w:t>Waive JEPB Rule 1.602(e)</w:t>
      </w:r>
    </w:p>
    <w:p w14:paraId="42991CA5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06ECCF25" w14:textId="77777777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Mr. Richardson shared that construction had begun on the property and is ongoing.  Due to this, he asked that the Board waive the portion of Rule 1 requiring a hearing before the Air Committee.</w:t>
      </w:r>
    </w:p>
    <w:p w14:paraId="45D372D1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5BE8947D" w14:textId="47AF94F1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 motion to waive JEPB Rule 1.602(e) was made (Joshi), properly seconded (</w:t>
      </w:r>
      <w:r w:rsidR="000E7FB5">
        <w:rPr>
          <w:rFonts w:ascii="Century Gothic" w:hAnsi="Century Gothic"/>
          <w:sz w:val="22"/>
        </w:rPr>
        <w:t>Noble</w:t>
      </w:r>
      <w:r>
        <w:rPr>
          <w:rFonts w:ascii="Century Gothic" w:hAnsi="Century Gothic"/>
          <w:sz w:val="22"/>
        </w:rPr>
        <w:t>) and approved by the body.</w:t>
      </w:r>
    </w:p>
    <w:p w14:paraId="04957414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7492CF9F" w14:textId="24FF7EDD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Mr. Richardson shared that the required public notice was made.  </w:t>
      </w:r>
      <w:r w:rsidR="000E7FB5">
        <w:rPr>
          <w:rFonts w:ascii="Century Gothic" w:hAnsi="Century Gothic"/>
          <w:sz w:val="22"/>
        </w:rPr>
        <w:t>Representatives from Blue Ocean Construction</w:t>
      </w:r>
      <w:r>
        <w:rPr>
          <w:rFonts w:ascii="Century Gothic" w:hAnsi="Century Gothic"/>
          <w:sz w:val="22"/>
        </w:rPr>
        <w:t xml:space="preserve"> then shared a presentation on the project and why the variance was being sought.  Mike Williams, EQD Air Branch, then shared a presentation on his technical review of the application and his recommendation to approve the variance with conditions.</w:t>
      </w:r>
    </w:p>
    <w:p w14:paraId="3F33F4FB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5FF28FA6" w14:textId="77777777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 motion was made to approve the variance with the conditions recommended by staff (Simon) and properly seconded (Joshi).</w:t>
      </w:r>
    </w:p>
    <w:p w14:paraId="777DC6FE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2D8BCD64" w14:textId="77777777" w:rsidR="00B14080" w:rsidRPr="00C06AEF" w:rsidRDefault="00B14080" w:rsidP="00B14080">
      <w:pPr>
        <w:rPr>
          <w:rFonts w:ascii="Century Gothic" w:hAnsi="Century Gothic"/>
          <w:sz w:val="22"/>
        </w:rPr>
      </w:pPr>
    </w:p>
    <w:bookmarkEnd w:id="6"/>
    <w:p w14:paraId="67533D7B" w14:textId="3C644359" w:rsidR="00B14080" w:rsidRPr="001108A5" w:rsidRDefault="000E7FB5" w:rsidP="00B14080">
      <w:pPr>
        <w:numPr>
          <w:ilvl w:val="1"/>
          <w:numId w:val="5"/>
        </w:numPr>
        <w:ind w:left="720" w:hanging="1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Funding Request – JEPB Education and Outreach</w:t>
      </w:r>
    </w:p>
    <w:p w14:paraId="7F6A94CF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36DBD671" w14:textId="631C9982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Mr. Richardson shared that </w:t>
      </w:r>
      <w:r w:rsidR="000E7FB5">
        <w:rPr>
          <w:rFonts w:ascii="Century Gothic" w:hAnsi="Century Gothic"/>
          <w:sz w:val="22"/>
        </w:rPr>
        <w:t xml:space="preserve">every two to three years, at the Board request, he presents proposed </w:t>
      </w:r>
      <w:r w:rsidR="002E78B8">
        <w:rPr>
          <w:rFonts w:ascii="Century Gothic" w:hAnsi="Century Gothic"/>
          <w:sz w:val="22"/>
        </w:rPr>
        <w:t>expenditures from the Trust Fund for education and outreach, discussed the staff report and recommended approval.</w:t>
      </w:r>
    </w:p>
    <w:p w14:paraId="2ABE6FAA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66CE9297" w14:textId="5C802541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 motion to approve the </w:t>
      </w:r>
      <w:r w:rsidR="002E78B8">
        <w:rPr>
          <w:rFonts w:ascii="Century Gothic" w:hAnsi="Century Gothic"/>
          <w:sz w:val="22"/>
        </w:rPr>
        <w:t>funding request as recommended in the staff report</w:t>
      </w:r>
      <w:r>
        <w:rPr>
          <w:rFonts w:ascii="Century Gothic" w:hAnsi="Century Gothic"/>
          <w:sz w:val="22"/>
        </w:rPr>
        <w:t xml:space="preserve"> was made (Joshi), properly seconded (Simon) and approved by the body.</w:t>
      </w:r>
    </w:p>
    <w:p w14:paraId="1DDA8FC9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64CADF32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PRESENTATION(s)</w:t>
      </w:r>
      <w:bookmarkStart w:id="7" w:name="_Hlk92377225"/>
    </w:p>
    <w:p w14:paraId="55E15E73" w14:textId="77777777" w:rsidR="00B14080" w:rsidRPr="00133232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None</w:t>
      </w:r>
    </w:p>
    <w:bookmarkEnd w:id="7"/>
    <w:p w14:paraId="41F14116" w14:textId="77777777" w:rsidR="00B14080" w:rsidRPr="00EF6F8F" w:rsidRDefault="00B14080" w:rsidP="00B14080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5F5AC4A1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PUBLIC HEARING(s)</w:t>
      </w:r>
    </w:p>
    <w:p w14:paraId="383633F3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bookmarkStart w:id="8" w:name="_Hlk120015197"/>
      <w:r w:rsidRPr="00937E18">
        <w:rPr>
          <w:rFonts w:asciiTheme="majorHAnsi" w:eastAsiaTheme="majorEastAsia" w:hAnsiTheme="majorHAnsi" w:cstheme="majorBidi"/>
          <w:sz w:val="26"/>
          <w:szCs w:val="26"/>
        </w:rPr>
        <w:t>None</w:t>
      </w:r>
    </w:p>
    <w:bookmarkEnd w:id="8"/>
    <w:p w14:paraId="1273B47E" w14:textId="77777777" w:rsidR="00B14080" w:rsidRPr="00937E1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14:paraId="7BDFF6A0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9" w:name="_Hlk120015261"/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OLD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BUSINESS</w:t>
      </w:r>
    </w:p>
    <w:p w14:paraId="5A054272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bookmarkEnd w:id="9"/>
    <w:p w14:paraId="16D30607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70526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COMMISSION &amp; JEPB COMMITTEE UPDATES</w:t>
      </w:r>
    </w:p>
    <w:p w14:paraId="389B02A0" w14:textId="72C1C6EA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Waterways Commission</w:t>
      </w:r>
      <w:r w:rsidRPr="00B06508">
        <w:rPr>
          <w:sz w:val="22"/>
        </w:rPr>
        <w:t xml:space="preserve"> – </w:t>
      </w:r>
      <w:r w:rsidR="002E78B8">
        <w:rPr>
          <w:sz w:val="22"/>
        </w:rPr>
        <w:t>Mr. Richardson shared</w:t>
      </w:r>
      <w:r>
        <w:rPr>
          <w:sz w:val="22"/>
        </w:rPr>
        <w:t xml:space="preserve"> that the River Accord Subcommittee was progressing in its work.</w:t>
      </w:r>
    </w:p>
    <w:p w14:paraId="2DC083ED" w14:textId="77777777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KJB Commission</w:t>
      </w:r>
      <w:r w:rsidRPr="00B06508">
        <w:rPr>
          <w:sz w:val="22"/>
        </w:rPr>
        <w:t xml:space="preserve"> – </w:t>
      </w:r>
      <w:r>
        <w:rPr>
          <w:sz w:val="22"/>
        </w:rPr>
        <w:t>no report.</w:t>
      </w:r>
    </w:p>
    <w:p w14:paraId="4D91DFBB" w14:textId="77777777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JEPB Water Committee</w:t>
      </w:r>
      <w:r w:rsidRPr="00B06508">
        <w:rPr>
          <w:sz w:val="22"/>
        </w:rPr>
        <w:t xml:space="preserve"> –</w:t>
      </w:r>
      <w:r>
        <w:rPr>
          <w:sz w:val="22"/>
        </w:rPr>
        <w:t xml:space="preserve"> Mr. Carr discussed information from the Water Branch report and responded to member questions.  </w:t>
      </w:r>
    </w:p>
    <w:p w14:paraId="7040F175" w14:textId="77777777" w:rsidR="00B14080" w:rsidRPr="002E78B8" w:rsidRDefault="00B14080" w:rsidP="00B14080">
      <w:pPr>
        <w:numPr>
          <w:ilvl w:val="0"/>
          <w:numId w:val="3"/>
        </w:numPr>
        <w:ind w:left="720" w:hanging="360"/>
        <w:contextualSpacing/>
      </w:pPr>
      <w:r w:rsidRPr="006D2247">
        <w:rPr>
          <w:b/>
          <w:bCs/>
          <w:sz w:val="22"/>
        </w:rPr>
        <w:t>JEPB Air Committee</w:t>
      </w:r>
      <w:r w:rsidRPr="006D2247">
        <w:rPr>
          <w:sz w:val="22"/>
        </w:rPr>
        <w:t xml:space="preserve"> – </w:t>
      </w:r>
      <w:r>
        <w:rPr>
          <w:sz w:val="22"/>
        </w:rPr>
        <w:t>Mr. Williams discussed information from the Air Branch report and responded to member questions.</w:t>
      </w:r>
    </w:p>
    <w:p w14:paraId="010D503F" w14:textId="77777777" w:rsidR="002E78B8" w:rsidRDefault="002E78B8" w:rsidP="002E78B8">
      <w:pPr>
        <w:ind w:left="720"/>
        <w:contextualSpacing/>
        <w:rPr>
          <w:b/>
          <w:bCs/>
          <w:sz w:val="22"/>
        </w:rPr>
      </w:pPr>
    </w:p>
    <w:p w14:paraId="15436B77" w14:textId="77777777" w:rsidR="002E78B8" w:rsidRPr="006D2247" w:rsidRDefault="002E78B8" w:rsidP="002E78B8">
      <w:pPr>
        <w:ind w:left="720"/>
        <w:contextualSpacing/>
      </w:pPr>
    </w:p>
    <w:p w14:paraId="067BFE4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 xml:space="preserve">EPB ADMINISTRATOR REPORT </w:t>
      </w:r>
    </w:p>
    <w:p w14:paraId="5DD5DB0E" w14:textId="43364639" w:rsidR="00B14080" w:rsidRPr="00C94450" w:rsidRDefault="00B14080" w:rsidP="00B14080">
      <w:pPr>
        <w:rPr>
          <w:szCs w:val="24"/>
        </w:rPr>
      </w:pPr>
      <w:r>
        <w:rPr>
          <w:szCs w:val="24"/>
        </w:rPr>
        <w:t>Mr. Richardson shared information on legislation concerning appointments</w:t>
      </w:r>
      <w:r w:rsidR="002E78B8">
        <w:rPr>
          <w:szCs w:val="24"/>
        </w:rPr>
        <w:t xml:space="preserve"> </w:t>
      </w:r>
      <w:r>
        <w:rPr>
          <w:szCs w:val="24"/>
        </w:rPr>
        <w:t>to the JEPB</w:t>
      </w:r>
      <w:r w:rsidR="002E78B8">
        <w:rPr>
          <w:szCs w:val="24"/>
        </w:rPr>
        <w:t xml:space="preserve"> and changes to Chapter 73 Ordinance Code</w:t>
      </w:r>
      <w:r>
        <w:rPr>
          <w:szCs w:val="24"/>
        </w:rPr>
        <w:t xml:space="preserve">, that planning efforts for the 2024 annual symposium </w:t>
      </w:r>
      <w:r w:rsidR="002E78B8">
        <w:rPr>
          <w:szCs w:val="24"/>
        </w:rPr>
        <w:t xml:space="preserve">have </w:t>
      </w:r>
      <w:r>
        <w:rPr>
          <w:szCs w:val="24"/>
        </w:rPr>
        <w:t>commence</w:t>
      </w:r>
      <w:r w:rsidR="002E78B8">
        <w:rPr>
          <w:szCs w:val="24"/>
        </w:rPr>
        <w:t>d</w:t>
      </w:r>
      <w:r>
        <w:rPr>
          <w:szCs w:val="24"/>
        </w:rPr>
        <w:t xml:space="preserve">, introduced Ashlee Carter as his intern through the JU Public Policy Institute, and that </w:t>
      </w:r>
      <w:r w:rsidR="002E78B8">
        <w:rPr>
          <w:szCs w:val="24"/>
        </w:rPr>
        <w:t xml:space="preserve">several </w:t>
      </w:r>
      <w:r>
        <w:rPr>
          <w:szCs w:val="24"/>
        </w:rPr>
        <w:t>variance application</w:t>
      </w:r>
      <w:r w:rsidR="002E78B8">
        <w:rPr>
          <w:szCs w:val="24"/>
        </w:rPr>
        <w:t>s</w:t>
      </w:r>
      <w:r>
        <w:rPr>
          <w:szCs w:val="24"/>
        </w:rPr>
        <w:t xml:space="preserve"> had been received and would be considered during the </w:t>
      </w:r>
      <w:r w:rsidR="002E78B8">
        <w:rPr>
          <w:szCs w:val="24"/>
        </w:rPr>
        <w:t>June and July</w:t>
      </w:r>
      <w:r>
        <w:rPr>
          <w:szCs w:val="24"/>
        </w:rPr>
        <w:t xml:space="preserve"> meeting</w:t>
      </w:r>
      <w:r w:rsidR="002E78B8">
        <w:rPr>
          <w:szCs w:val="24"/>
        </w:rPr>
        <w:t>s</w:t>
      </w:r>
      <w:r>
        <w:rPr>
          <w:szCs w:val="24"/>
        </w:rPr>
        <w:t>.</w:t>
      </w:r>
    </w:p>
    <w:p w14:paraId="704180F3" w14:textId="77777777" w:rsidR="00B14080" w:rsidRDefault="00B14080" w:rsidP="00B14080">
      <w:pPr>
        <w:rPr>
          <w:sz w:val="22"/>
        </w:rPr>
      </w:pPr>
    </w:p>
    <w:p w14:paraId="1BFCD474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ENVIRONMENTAL QUALITY DIVISION REPORT</w:t>
      </w:r>
    </w:p>
    <w:p w14:paraId="4D6F2874" w14:textId="53931593" w:rsidR="00B14080" w:rsidRPr="00C94450" w:rsidRDefault="002E78B8" w:rsidP="00B14080">
      <w:pPr>
        <w:rPr>
          <w:szCs w:val="24"/>
        </w:rPr>
      </w:pPr>
      <w:r>
        <w:rPr>
          <w:szCs w:val="24"/>
        </w:rPr>
        <w:t>None</w:t>
      </w:r>
    </w:p>
    <w:p w14:paraId="3C6FBA77" w14:textId="77777777" w:rsidR="00B14080" w:rsidRDefault="00B14080" w:rsidP="00B14080">
      <w:pPr>
        <w:rPr>
          <w:sz w:val="22"/>
        </w:rPr>
      </w:pPr>
    </w:p>
    <w:p w14:paraId="25513648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ITEMS REFERRED TO COMMITTEES</w:t>
      </w:r>
    </w:p>
    <w:p w14:paraId="379C33D6" w14:textId="77777777" w:rsidR="00B14080" w:rsidRPr="00B06508" w:rsidRDefault="00B14080" w:rsidP="00B14080">
      <w:pPr>
        <w:contextualSpacing/>
      </w:pPr>
      <w:r>
        <w:t>None</w:t>
      </w:r>
    </w:p>
    <w:p w14:paraId="7E7D5DBF" w14:textId="77777777" w:rsidR="00B14080" w:rsidRDefault="00B14080" w:rsidP="00B14080">
      <w:pPr>
        <w:rPr>
          <w:sz w:val="22"/>
        </w:rPr>
      </w:pPr>
    </w:p>
    <w:p w14:paraId="2A8273C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NEXT SCHEDULED BOARD MEETING(s) </w:t>
      </w:r>
    </w:p>
    <w:p w14:paraId="699F8741" w14:textId="0CDF1454" w:rsidR="00B14080" w:rsidRPr="00BD22ED" w:rsidRDefault="00B14080" w:rsidP="00B1408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2E78B8">
        <w:rPr>
          <w:rFonts w:ascii="Century Gothic" w:hAnsi="Century Gothic" w:cs="Century Gothic"/>
          <w:sz w:val="22"/>
        </w:rPr>
        <w:t>June 10</w:t>
      </w:r>
      <w:r>
        <w:rPr>
          <w:rFonts w:ascii="Century Gothic" w:hAnsi="Century Gothic" w:cs="Century Gothic"/>
          <w:sz w:val="22"/>
        </w:rPr>
        <w:t>, 2024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2814C825" w14:textId="692D96B5" w:rsidR="00B14080" w:rsidRDefault="00B14080" w:rsidP="00B1408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 xml:space="preserve">Monday, </w:t>
      </w:r>
      <w:r w:rsidR="002E78B8">
        <w:rPr>
          <w:rFonts w:ascii="Century Gothic" w:hAnsi="Century Gothic" w:cs="Century Gothic"/>
          <w:sz w:val="22"/>
        </w:rPr>
        <w:t>June 17</w:t>
      </w:r>
      <w:r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404EECC3" w14:textId="77777777" w:rsidR="00B14080" w:rsidRDefault="00B14080" w:rsidP="00B1408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2EDDCCF5" w14:textId="4435A933" w:rsidR="00B14080" w:rsidRDefault="00B14080" w:rsidP="00B14080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</w:t>
      </w:r>
      <w:r w:rsidR="002E78B8">
        <w:rPr>
          <w:rFonts w:ascii="Century Gothic" w:hAnsi="Century Gothic" w:cs="Century Gothic"/>
          <w:sz w:val="22"/>
        </w:rPr>
        <w:t xml:space="preserve">Air </w:t>
      </w:r>
      <w:r>
        <w:rPr>
          <w:rFonts w:ascii="Century Gothic" w:hAnsi="Century Gothic" w:cs="Century Gothic"/>
          <w:sz w:val="22"/>
        </w:rPr>
        <w:t xml:space="preserve">Committee – Monday, </w:t>
      </w:r>
      <w:r w:rsidR="002E78B8">
        <w:rPr>
          <w:rFonts w:ascii="Century Gothic" w:hAnsi="Century Gothic" w:cs="Century Gothic"/>
          <w:sz w:val="22"/>
        </w:rPr>
        <w:t>June 24</w:t>
      </w:r>
      <w:r>
        <w:rPr>
          <w:rFonts w:ascii="Century Gothic" w:hAnsi="Century Gothic" w:cs="Century Gothic"/>
          <w:sz w:val="22"/>
        </w:rPr>
        <w:t>, 2024, at 4:30 pm</w:t>
      </w:r>
    </w:p>
    <w:p w14:paraId="0E0C9DDC" w14:textId="0F2F7FEE" w:rsidR="00B14080" w:rsidRPr="00F53364" w:rsidRDefault="00B14080" w:rsidP="00B14080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</w:t>
      </w:r>
      <w:r w:rsidR="002E78B8">
        <w:rPr>
          <w:rFonts w:ascii="Century Gothic" w:hAnsi="Century Gothic" w:cs="Century Gothic"/>
          <w:sz w:val="22"/>
        </w:rPr>
        <w:t xml:space="preserve">Water </w:t>
      </w:r>
      <w:r>
        <w:rPr>
          <w:rFonts w:ascii="Century Gothic" w:hAnsi="Century Gothic" w:cs="Century Gothic"/>
          <w:sz w:val="22"/>
        </w:rPr>
        <w:t xml:space="preserve">Committee – Monday, </w:t>
      </w:r>
      <w:r w:rsidR="002E78B8">
        <w:rPr>
          <w:rFonts w:ascii="Century Gothic" w:hAnsi="Century Gothic" w:cs="Century Gothic"/>
          <w:sz w:val="22"/>
        </w:rPr>
        <w:t>June 24</w:t>
      </w:r>
      <w:r>
        <w:rPr>
          <w:rFonts w:ascii="Century Gothic" w:hAnsi="Century Gothic" w:cs="Century Gothic"/>
          <w:sz w:val="22"/>
        </w:rPr>
        <w:t>, 2024, at 5:30 pm</w:t>
      </w:r>
    </w:p>
    <w:p w14:paraId="1510C602" w14:textId="77777777" w:rsidR="00B14080" w:rsidRPr="00C94450" w:rsidRDefault="00B14080" w:rsidP="00B14080">
      <w:pPr>
        <w:rPr>
          <w:rFonts w:cs="Arial"/>
          <w:szCs w:val="24"/>
        </w:rPr>
      </w:pPr>
    </w:p>
    <w:p w14:paraId="3F890056" w14:textId="53B5D973" w:rsidR="00B14080" w:rsidRPr="00C94450" w:rsidRDefault="00B14080" w:rsidP="00B14080">
      <w:pPr>
        <w:rPr>
          <w:rFonts w:cs="Arial"/>
          <w:szCs w:val="24"/>
        </w:rPr>
      </w:pPr>
      <w:r w:rsidRPr="00C94450">
        <w:rPr>
          <w:rFonts w:cs="Arial"/>
          <w:szCs w:val="24"/>
        </w:rPr>
        <w:t xml:space="preserve">The meeting was adjourned at </w:t>
      </w:r>
      <w:r>
        <w:rPr>
          <w:rFonts w:cs="Arial"/>
          <w:szCs w:val="24"/>
        </w:rPr>
        <w:t>6:</w:t>
      </w:r>
      <w:r w:rsidR="002E78B8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</w:t>
      </w:r>
      <w:r w:rsidRPr="00C94450">
        <w:rPr>
          <w:rFonts w:cs="Arial"/>
          <w:szCs w:val="24"/>
        </w:rPr>
        <w:t xml:space="preserve">pm.  </w:t>
      </w:r>
    </w:p>
    <w:p w14:paraId="05DEB345" w14:textId="77777777" w:rsidR="00B14080" w:rsidRPr="00CF5FAD" w:rsidRDefault="00B14080" w:rsidP="00B14080"/>
    <w:p w14:paraId="4B90113E" w14:textId="77777777" w:rsidR="00B14080" w:rsidRPr="00E257B3" w:rsidRDefault="00B14080" w:rsidP="00B14080">
      <w:pPr>
        <w:jc w:val="center"/>
      </w:pPr>
    </w:p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A4F5" w14:textId="77777777" w:rsidR="00B14080" w:rsidRDefault="00B14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A67C" w14:textId="77777777" w:rsidR="00B14080" w:rsidRDefault="00B14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43BA" w14:textId="77777777" w:rsidR="00B14080" w:rsidRDefault="00B140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3F91" w14:textId="77777777" w:rsidR="00BB5C12" w:rsidRDefault="00BB5C1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6AD1" w14:textId="77777777" w:rsidR="00BB5C12" w:rsidRDefault="00BB5C1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53AF" w14:textId="77777777" w:rsidR="00B14080" w:rsidRDefault="00B1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EA94" w14:textId="77777777" w:rsidR="00B14080" w:rsidRDefault="00B14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3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790"/>
      <w:gridCol w:w="5760"/>
      <w:gridCol w:w="2988"/>
    </w:tblGrid>
    <w:tr w:rsidR="00B14080" w14:paraId="6A0EED15" w14:textId="77777777" w:rsidTr="00B14080">
      <w:trPr>
        <w:tblHeader/>
      </w:trPr>
      <w:tc>
        <w:tcPr>
          <w:tcW w:w="2790" w:type="dxa"/>
        </w:tcPr>
        <w:p w14:paraId="65BFFBCC" w14:textId="77777777" w:rsidR="00B14080" w:rsidRDefault="00B14080" w:rsidP="00CE141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inline distT="0" distB="0" distL="0" distR="0" wp14:anchorId="213C4D74" wp14:editId="4AD87DF1">
                <wp:extent cx="1409700" cy="17300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7" cy="174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14:paraId="112BB6C0" w14:textId="77777777" w:rsidR="00B14080" w:rsidRDefault="00B14080" w:rsidP="00CE141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550E9DF8" w14:textId="77C69045" w:rsidR="00B14080" w:rsidRPr="00D03439" w:rsidRDefault="00B14080" w:rsidP="007B7777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>Jacksonville Environmental Protection Board Members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Thomas Deck - Chairman </w:t>
          </w:r>
          <w:r>
            <w:rPr>
              <w:color w:val="1F497D" w:themeColor="text2"/>
              <w:sz w:val="16"/>
              <w:szCs w:val="16"/>
            </w:rPr>
            <w:br/>
            <w:t xml:space="preserve">Adam Hoyles – Vice Chairman                                                                     Josh Gellers, Ph.D., Desiree C. Jones, LMHC, Sunil Joshi, M.D.,               Clint Noble, P.G., Guillermo Simon, P.E., Margarete Vest, P.E., David Wood </w:t>
          </w:r>
        </w:p>
      </w:tc>
      <w:tc>
        <w:tcPr>
          <w:tcW w:w="2988" w:type="dxa"/>
        </w:tcPr>
        <w:p w14:paraId="6E741E98" w14:textId="77777777" w:rsidR="00B14080" w:rsidRDefault="00B14080" w:rsidP="007B7777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2CCF121B" w14:textId="56D2C248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Clint Noble, P.G.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>Josh Gellers, Ph.D.</w:t>
          </w:r>
        </w:p>
        <w:p w14:paraId="1EF65593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Jones, LMHC</w:t>
          </w:r>
        </w:p>
        <w:p w14:paraId="6B3DB1FB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38E1D242" w14:textId="34E139B5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  <w:p w14:paraId="4A4C135B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</w:p>
        <w:p w14:paraId="638F5AAE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Adam Hoyles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>Josh Gellers, Ph.D.</w:t>
          </w:r>
        </w:p>
        <w:p w14:paraId="0D96B023" w14:textId="77777777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Jones, LMHC</w:t>
          </w:r>
        </w:p>
        <w:p w14:paraId="38A124E0" w14:textId="77777777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Simon, P.E</w:t>
          </w:r>
        </w:p>
        <w:p w14:paraId="68EFE9E8" w14:textId="644B4688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 xml:space="preserve">Margarete Vest, </w:t>
          </w:r>
          <w:proofErr w:type="gramStart"/>
          <w:r>
            <w:rPr>
              <w:color w:val="1F497D" w:themeColor="text2"/>
              <w:sz w:val="16"/>
              <w:szCs w:val="16"/>
            </w:rPr>
            <w:t>P.E..</w:t>
          </w:r>
          <w:proofErr w:type="gramEnd"/>
        </w:p>
        <w:p w14:paraId="56ED5627" w14:textId="77777777" w:rsidR="00B14080" w:rsidRPr="00EC3733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</w:p>
      </w:tc>
    </w:tr>
  </w:tbl>
  <w:p w14:paraId="59AA3371" w14:textId="77777777" w:rsidR="00B14080" w:rsidRDefault="00B140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E5CC" w14:textId="77777777" w:rsidR="00BB5C12" w:rsidRDefault="00BB5C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FBB" w14:textId="77777777" w:rsidR="00BB5C12" w:rsidRDefault="00BB5C1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72F"/>
    <w:multiLevelType w:val="hybridMultilevel"/>
    <w:tmpl w:val="E65C0C32"/>
    <w:lvl w:ilvl="0" w:tplc="BB1A5C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51B8F"/>
    <w:multiLevelType w:val="hybridMultilevel"/>
    <w:tmpl w:val="0ED0C6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77B29"/>
    <w:multiLevelType w:val="hybridMultilevel"/>
    <w:tmpl w:val="FB2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1"/>
  </w:num>
  <w:num w:numId="2" w16cid:durableId="2133209597">
    <w:abstractNumId w:val="2"/>
  </w:num>
  <w:num w:numId="3" w16cid:durableId="1378699471">
    <w:abstractNumId w:val="0"/>
  </w:num>
  <w:num w:numId="4" w16cid:durableId="1916670056">
    <w:abstractNumId w:val="4"/>
  </w:num>
  <w:num w:numId="5" w16cid:durableId="1546869509">
    <w:abstractNumId w:val="3"/>
  </w:num>
  <w:num w:numId="6" w16cid:durableId="1683168007">
    <w:abstractNumId w:val="7"/>
  </w:num>
  <w:num w:numId="7" w16cid:durableId="847209541">
    <w:abstractNumId w:val="5"/>
  </w:num>
  <w:num w:numId="8" w16cid:durableId="1920095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12A61"/>
    <w:rsid w:val="00074E00"/>
    <w:rsid w:val="000B378F"/>
    <w:rsid w:val="000C6F3A"/>
    <w:rsid w:val="000E7FB5"/>
    <w:rsid w:val="000F681E"/>
    <w:rsid w:val="00104363"/>
    <w:rsid w:val="00182EE2"/>
    <w:rsid w:val="001E7050"/>
    <w:rsid w:val="00211C95"/>
    <w:rsid w:val="002B2EF8"/>
    <w:rsid w:val="002E2051"/>
    <w:rsid w:val="002E78B8"/>
    <w:rsid w:val="00323D40"/>
    <w:rsid w:val="003355F7"/>
    <w:rsid w:val="00394A11"/>
    <w:rsid w:val="003B4AFE"/>
    <w:rsid w:val="00453F81"/>
    <w:rsid w:val="00487293"/>
    <w:rsid w:val="004946C2"/>
    <w:rsid w:val="0050164B"/>
    <w:rsid w:val="0050363F"/>
    <w:rsid w:val="00517AC6"/>
    <w:rsid w:val="00584588"/>
    <w:rsid w:val="005960BE"/>
    <w:rsid w:val="0060094D"/>
    <w:rsid w:val="006161A2"/>
    <w:rsid w:val="00660084"/>
    <w:rsid w:val="006826BB"/>
    <w:rsid w:val="00683D3D"/>
    <w:rsid w:val="006F3EF1"/>
    <w:rsid w:val="00762556"/>
    <w:rsid w:val="007D1C67"/>
    <w:rsid w:val="008017C6"/>
    <w:rsid w:val="008A4B6B"/>
    <w:rsid w:val="008B03E0"/>
    <w:rsid w:val="008E60E9"/>
    <w:rsid w:val="00970DA0"/>
    <w:rsid w:val="00A231A8"/>
    <w:rsid w:val="00A439F0"/>
    <w:rsid w:val="00A77E44"/>
    <w:rsid w:val="00A94C57"/>
    <w:rsid w:val="00AA7533"/>
    <w:rsid w:val="00AC3542"/>
    <w:rsid w:val="00AD5582"/>
    <w:rsid w:val="00B10013"/>
    <w:rsid w:val="00B14080"/>
    <w:rsid w:val="00B25551"/>
    <w:rsid w:val="00B327CF"/>
    <w:rsid w:val="00B479B2"/>
    <w:rsid w:val="00B549B2"/>
    <w:rsid w:val="00BB5C12"/>
    <w:rsid w:val="00C038F6"/>
    <w:rsid w:val="00C31DC7"/>
    <w:rsid w:val="00CA2D70"/>
    <w:rsid w:val="00CF1E4D"/>
    <w:rsid w:val="00CF5FAD"/>
    <w:rsid w:val="00D03439"/>
    <w:rsid w:val="00D26FB5"/>
    <w:rsid w:val="00D709DF"/>
    <w:rsid w:val="00E00894"/>
    <w:rsid w:val="00E257B3"/>
    <w:rsid w:val="00E26100"/>
    <w:rsid w:val="00E6361D"/>
    <w:rsid w:val="00E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718620AEC74B5DA97D65BB5DA7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A2CB-62B5-43CB-90AB-D48962181E2B}"/>
      </w:docPartPr>
      <w:docPartBody>
        <w:p w:rsidR="00DB6C5E" w:rsidRDefault="00DB6C5E" w:rsidP="00DB6C5E">
          <w:pPr>
            <w:pStyle w:val="20718620AEC74B5DA97D65BB5DA7B075"/>
          </w:pPr>
          <w:r w:rsidRPr="00276D52">
            <w:rPr>
              <w:rStyle w:val="PlaceholderText"/>
              <w:rFonts w:ascii="Arial" w:hAnsi="Arial" w:cs="Arial"/>
            </w:rPr>
            <w:t>Property Owner.</w:t>
          </w:r>
        </w:p>
      </w:docPartBody>
    </w:docPart>
    <w:docPart>
      <w:docPartPr>
        <w:name w:val="A54D8EC3703349D9ACE6371731C2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C2A6-ECB3-4DA1-A0F6-20200E8F6B77}"/>
      </w:docPartPr>
      <w:docPartBody>
        <w:p w:rsidR="00DB6C5E" w:rsidRDefault="00DB6C5E" w:rsidP="00DB6C5E">
          <w:pPr>
            <w:pStyle w:val="A54D8EC3703349D9ACE6371731C2DE1F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AD57E55E7D5A49BBA122C57DBC7A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97E8-2192-4BC8-BDB1-9A5D1F121BF6}"/>
      </w:docPartPr>
      <w:docPartBody>
        <w:p w:rsidR="00DB6C5E" w:rsidRDefault="00DB6C5E" w:rsidP="00DB6C5E">
          <w:pPr>
            <w:pStyle w:val="AD57E55E7D5A49BBA122C57DBC7A873B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5E"/>
    <w:rsid w:val="006161A2"/>
    <w:rsid w:val="00B549B2"/>
    <w:rsid w:val="00DB6C5E"/>
    <w:rsid w:val="00E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C5E"/>
    <w:rPr>
      <w:color w:val="808080"/>
    </w:rPr>
  </w:style>
  <w:style w:type="paragraph" w:customStyle="1" w:styleId="20718620AEC74B5DA97D65BB5DA7B075">
    <w:name w:val="20718620AEC74B5DA97D65BB5DA7B075"/>
    <w:rsid w:val="00DB6C5E"/>
  </w:style>
  <w:style w:type="paragraph" w:customStyle="1" w:styleId="A54D8EC3703349D9ACE6371731C2DE1F">
    <w:name w:val="A54D8EC3703349D9ACE6371731C2DE1F"/>
    <w:rsid w:val="00DB6C5E"/>
  </w:style>
  <w:style w:type="paragraph" w:customStyle="1" w:styleId="AD57E55E7D5A49BBA122C57DBC7A873B">
    <w:name w:val="AD57E55E7D5A49BBA122C57DBC7A873B"/>
    <w:rsid w:val="00DB6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5</cp:revision>
  <cp:lastPrinted>2022-07-29T15:38:00Z</cp:lastPrinted>
  <dcterms:created xsi:type="dcterms:W3CDTF">2024-05-31T13:47:00Z</dcterms:created>
  <dcterms:modified xsi:type="dcterms:W3CDTF">2024-06-14T01:14:00Z</dcterms:modified>
</cp:coreProperties>
</file>