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849D" w14:textId="77777777" w:rsidR="00CF5FAD" w:rsidRPr="00CF5FAD" w:rsidRDefault="00CF5FAD" w:rsidP="00CF5FAD"/>
    <w:p w14:paraId="71768200" w14:textId="77777777" w:rsidR="00B14080" w:rsidRPr="00CF5FAD" w:rsidRDefault="00B14080" w:rsidP="00B14080"/>
    <w:p w14:paraId="6A662705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Jacksonville Environmental Protection Board</w:t>
      </w:r>
    </w:p>
    <w:p w14:paraId="6BF3CFBE" w14:textId="10DBDA4E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Monday, </w:t>
      </w:r>
      <w:r w:rsidR="00DA6D5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June 17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, 2024</w:t>
      </w:r>
    </w:p>
    <w:p w14:paraId="03759F91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MONTHLY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MEETING SUMMARY</w:t>
      </w:r>
    </w:p>
    <w:p w14:paraId="527734BF" w14:textId="77777777" w:rsidR="00B14080" w:rsidRPr="00B06508" w:rsidRDefault="00B14080" w:rsidP="00B14080"/>
    <w:p w14:paraId="422F70A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PRESENT:</w:t>
      </w:r>
    </w:p>
    <w:p w14:paraId="3100CA3F" w14:textId="77777777" w:rsidR="00B14080" w:rsidRPr="00B06508" w:rsidRDefault="00B14080" w:rsidP="00B14080">
      <w:pPr>
        <w:sectPr w:rsidR="00B14080" w:rsidRPr="00B06508" w:rsidSect="00B140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065BB319" w14:textId="77777777" w:rsidR="00B14080" w:rsidRDefault="00B14080" w:rsidP="00B14080">
      <w:r w:rsidRPr="00B06508">
        <w:t>Thomas Deck</w:t>
      </w:r>
      <w:r>
        <w:t>, Chair</w:t>
      </w:r>
      <w:r w:rsidRPr="00B06508">
        <w:t xml:space="preserve"> </w:t>
      </w:r>
    </w:p>
    <w:p w14:paraId="556A90A6" w14:textId="77777777" w:rsidR="00DA6D5B" w:rsidRDefault="00B14080" w:rsidP="00B14080">
      <w:r>
        <w:t>Sunil Joshi, M.D.</w:t>
      </w:r>
      <w:r w:rsidRPr="00A3710D">
        <w:t xml:space="preserve"> </w:t>
      </w:r>
    </w:p>
    <w:p w14:paraId="428D8C78" w14:textId="17D159B1" w:rsidR="00B14080" w:rsidRDefault="00DA6D5B" w:rsidP="00B14080">
      <w:r>
        <w:t>A</w:t>
      </w:r>
      <w:r w:rsidRPr="00920EB3">
        <w:t>dam Hoyles</w:t>
      </w:r>
      <w:r>
        <w:t>, Vice-Chair</w:t>
      </w:r>
    </w:p>
    <w:p w14:paraId="4B52AAEA" w14:textId="77777777" w:rsidR="00B14080" w:rsidRDefault="00B14080" w:rsidP="00B14080">
      <w:r>
        <w:t>Clint Noble, P.G.</w:t>
      </w:r>
    </w:p>
    <w:p w14:paraId="3D73AC3F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3CE20D8" w14:textId="0C42C401" w:rsidR="00B327CF" w:rsidRDefault="00B10013" w:rsidP="00B14080">
      <w:r>
        <w:t>Josh Gellers, Ph.D.</w:t>
      </w:r>
      <w:r w:rsidR="00B327CF">
        <w:tab/>
      </w:r>
      <w:r w:rsidR="00B327CF">
        <w:tab/>
      </w:r>
      <w:r w:rsidR="00B327CF">
        <w:tab/>
      </w:r>
      <w:r w:rsidR="00B327CF">
        <w:tab/>
      </w:r>
      <w:r w:rsidR="00B327CF">
        <w:tab/>
        <w:t>Desiree Jones</w:t>
      </w:r>
    </w:p>
    <w:p w14:paraId="0E2DE9C1" w14:textId="16814E9E" w:rsidR="00DA6D5B" w:rsidRPr="00B06508" w:rsidRDefault="00DA6D5B" w:rsidP="00DA6D5B">
      <w:r>
        <w:t>Margarete Vest, P.E.</w:t>
      </w:r>
      <w:r>
        <w:tab/>
      </w:r>
      <w:r>
        <w:tab/>
      </w:r>
      <w:r>
        <w:tab/>
      </w:r>
      <w:r>
        <w:tab/>
      </w:r>
      <w:r w:rsidRPr="00B06508">
        <w:t>David Wood</w:t>
      </w:r>
    </w:p>
    <w:p w14:paraId="7958D0EF" w14:textId="77777777" w:rsidR="00B10013" w:rsidRDefault="00B10013" w:rsidP="00B14080"/>
    <w:p w14:paraId="3CF7292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NOT PRESENT:</w:t>
      </w:r>
    </w:p>
    <w:p w14:paraId="70F1A237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0F0F0AA4" w14:textId="77777777" w:rsidR="00DA6D5B" w:rsidRDefault="00DA6D5B" w:rsidP="00DA6D5B">
      <w:r>
        <w:t>Guillermo Simon, P.E.</w:t>
      </w:r>
      <w:r w:rsidRPr="00CD2DA0">
        <w:t xml:space="preserve"> </w:t>
      </w:r>
      <w:r>
        <w:tab/>
      </w:r>
      <w:r>
        <w:tab/>
      </w:r>
    </w:p>
    <w:p w14:paraId="032CEE72" w14:textId="606C0572" w:rsidR="00B10013" w:rsidRDefault="00B10013" w:rsidP="000E7FB5"/>
    <w:p w14:paraId="1BF6F46B" w14:textId="77777777" w:rsidR="000E7FB5" w:rsidRDefault="000E7FB5" w:rsidP="00B14080">
      <w:pPr>
        <w:sectPr w:rsidR="000E7FB5" w:rsidSect="000E7FB5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05AE3EBA" w14:textId="4ABBCE45" w:rsidR="00B14080" w:rsidRDefault="00B14080" w:rsidP="00B14080">
      <w:r>
        <w:tab/>
      </w:r>
    </w:p>
    <w:p w14:paraId="08A91814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E30C0E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STAFF/RESOURCES PRESENT:</w:t>
      </w:r>
    </w:p>
    <w:p w14:paraId="3F644BCF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05BD1666" w14:textId="77777777" w:rsidR="00B14080" w:rsidRPr="00B06508" w:rsidRDefault="00B14080" w:rsidP="00B14080">
      <w:r w:rsidRPr="00B06508">
        <w:t>James Richardson, JEPB Administrator</w:t>
      </w:r>
    </w:p>
    <w:p w14:paraId="336AEDE8" w14:textId="462110D9" w:rsidR="00DA6D5B" w:rsidRDefault="00DA6D5B" w:rsidP="00B14080">
      <w:r>
        <w:t>Melissa Long, EQD</w:t>
      </w:r>
    </w:p>
    <w:p w14:paraId="4211047F" w14:textId="79B1C1F6" w:rsidR="00B14080" w:rsidRDefault="00B14080" w:rsidP="00B14080">
      <w:r>
        <w:t>Cherry Pollock, OGC</w:t>
      </w:r>
    </w:p>
    <w:p w14:paraId="21E653E1" w14:textId="77777777" w:rsidR="00B14080" w:rsidRDefault="00B14080" w:rsidP="00B14080">
      <w:r>
        <w:t>Terry Carr, EQD</w:t>
      </w:r>
      <w:r>
        <w:tab/>
      </w:r>
      <w:r>
        <w:tab/>
      </w:r>
      <w:r>
        <w:tab/>
      </w:r>
      <w:r>
        <w:tab/>
      </w:r>
    </w:p>
    <w:p w14:paraId="1C2CAD1E" w14:textId="77777777" w:rsidR="00B14080" w:rsidRDefault="00B14080" w:rsidP="00B14080">
      <w:r>
        <w:t>Mike Williams, EQD</w:t>
      </w:r>
    </w:p>
    <w:p w14:paraId="78FA0B39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2B8D73CF" w14:textId="77777777" w:rsidR="00B14080" w:rsidRPr="00B06508" w:rsidRDefault="00B14080" w:rsidP="00B14080"/>
    <w:p w14:paraId="6CA08777" w14:textId="77777777" w:rsidR="00B14080" w:rsidRPr="00B06508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0" w:name="_Hlk6697530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VISITOR(s) PRESENT:</w:t>
      </w:r>
    </w:p>
    <w:p w14:paraId="6579D411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4C898E1F" w14:textId="77777777" w:rsidR="00B14080" w:rsidRDefault="00B14080" w:rsidP="00B14080">
      <w:r>
        <w:t>Ashlee Carter</w:t>
      </w:r>
    </w:p>
    <w:p w14:paraId="210A2ED8" w14:textId="0B12B9E1" w:rsidR="000E7FB5" w:rsidRDefault="00DA6D5B" w:rsidP="00B14080">
      <w:r>
        <w:t>David Dunkley, JAA</w:t>
      </w:r>
    </w:p>
    <w:p w14:paraId="6A3BCE3A" w14:textId="0E8B1090" w:rsidR="00DA6D5B" w:rsidRDefault="00DA6D5B" w:rsidP="00B14080">
      <w:r>
        <w:t>Eric Jud, Summit Contracting</w:t>
      </w:r>
    </w:p>
    <w:p w14:paraId="16980A7C" w14:textId="0FF4E5D6" w:rsidR="00DA6D5B" w:rsidRDefault="00DA6D5B" w:rsidP="00B14080">
      <w:r>
        <w:t>Doug Conkey, SJRWMD</w:t>
      </w:r>
    </w:p>
    <w:p w14:paraId="541E17DF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bookmarkEnd w:id="0"/>
    <w:p w14:paraId="2186B356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79A9E3E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 xml:space="preserve">CALL TO ORDER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THOMAS DECK</w:t>
      </w:r>
    </w:p>
    <w:p w14:paraId="11B58C9D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INTRODUCTIONS</w:t>
      </w:r>
    </w:p>
    <w:p w14:paraId="7CE01F93" w14:textId="12440204" w:rsidR="00B14080" w:rsidRDefault="00B14080" w:rsidP="00B14080">
      <w:r w:rsidRPr="00B06508">
        <w:t xml:space="preserve">Chair </w:t>
      </w:r>
      <w:r>
        <w:t xml:space="preserve">Deck </w:t>
      </w:r>
      <w:r w:rsidRPr="00B06508">
        <w:t xml:space="preserve">called to order the </w:t>
      </w:r>
      <w:r>
        <w:t xml:space="preserve">monthly </w:t>
      </w:r>
      <w:r w:rsidRPr="00B06508">
        <w:t>meeting of the Jacksonville Environmental Protection Board (JEPB) at 5:0</w:t>
      </w:r>
      <w:r w:rsidR="000E7FB5">
        <w:t>1</w:t>
      </w:r>
      <w:r w:rsidRPr="00B06508">
        <w:t xml:space="preserve"> pm.  A quorum </w:t>
      </w:r>
      <w:r>
        <w:t xml:space="preserve">was </w:t>
      </w:r>
      <w:r w:rsidRPr="00B06508">
        <w:t>established</w:t>
      </w:r>
      <w:r>
        <w:t xml:space="preserve">.  He recognized </w:t>
      </w:r>
      <w:proofErr w:type="gramStart"/>
      <w:r w:rsidR="000E7FB5">
        <w:t>new</w:t>
      </w:r>
      <w:proofErr w:type="gramEnd"/>
      <w:r w:rsidR="000E7FB5">
        <w:t xml:space="preserve"> member </w:t>
      </w:r>
      <w:r w:rsidR="009E3054">
        <w:t>Margarete Vest</w:t>
      </w:r>
      <w:r w:rsidR="000E7FB5">
        <w:t xml:space="preserve"> and welcomed her to her first meeting.</w:t>
      </w:r>
    </w:p>
    <w:p w14:paraId="3D28419D" w14:textId="77777777" w:rsidR="00B14080" w:rsidRDefault="00B14080" w:rsidP="00B14080"/>
    <w:p w14:paraId="4C69FD93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CHAIRMANS REMARKS</w:t>
      </w:r>
    </w:p>
    <w:p w14:paraId="1931CC91" w14:textId="77777777" w:rsidR="00B14080" w:rsidRDefault="00B14080" w:rsidP="00B14080">
      <w:r>
        <w:t>None</w:t>
      </w:r>
    </w:p>
    <w:p w14:paraId="26819A30" w14:textId="77777777" w:rsidR="00B14080" w:rsidRDefault="00B14080" w:rsidP="00B14080"/>
    <w:p w14:paraId="5504F02A" w14:textId="77777777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" w:name="_Hlk142294547"/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COMMENTS FROM THE PUBLIC </w:t>
      </w:r>
    </w:p>
    <w:bookmarkEnd w:id="1"/>
    <w:p w14:paraId="397E5519" w14:textId="0E47C0EB" w:rsidR="00B14080" w:rsidRDefault="000E7FB5" w:rsidP="00B14080">
      <w:r>
        <w:t>None</w:t>
      </w:r>
    </w:p>
    <w:p w14:paraId="3E9371C1" w14:textId="77777777" w:rsidR="00B14080" w:rsidRDefault="00B14080" w:rsidP="00B14080"/>
    <w:p w14:paraId="397FD281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APPROVAL OF MINUTES</w:t>
      </w:r>
    </w:p>
    <w:p w14:paraId="77BB6D16" w14:textId="160F2CCF" w:rsidR="00B14080" w:rsidRDefault="009E3054" w:rsidP="00B1408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May 20, </w:t>
      </w:r>
      <w:proofErr w:type="gramStart"/>
      <w:r>
        <w:rPr>
          <w:rFonts w:ascii="Century Gothic" w:hAnsi="Century Gothic"/>
          <w:bCs/>
          <w:sz w:val="22"/>
        </w:rPr>
        <w:t>2024</w:t>
      </w:r>
      <w:proofErr w:type="gramEnd"/>
      <w:r w:rsidR="000E7FB5">
        <w:rPr>
          <w:rFonts w:ascii="Century Gothic" w:hAnsi="Century Gothic"/>
          <w:bCs/>
          <w:sz w:val="22"/>
        </w:rPr>
        <w:t xml:space="preserve"> </w:t>
      </w:r>
      <w:r w:rsidR="00B14080" w:rsidRPr="008D3936">
        <w:rPr>
          <w:rFonts w:ascii="Century Gothic" w:hAnsi="Century Gothic"/>
          <w:bCs/>
          <w:sz w:val="22"/>
        </w:rPr>
        <w:t xml:space="preserve">Monthly </w:t>
      </w:r>
      <w:r w:rsidR="000E7FB5">
        <w:rPr>
          <w:rFonts w:ascii="Century Gothic" w:hAnsi="Century Gothic"/>
          <w:bCs/>
          <w:sz w:val="22"/>
        </w:rPr>
        <w:t xml:space="preserve">Board </w:t>
      </w:r>
      <w:r w:rsidR="00B14080" w:rsidRPr="008D3936">
        <w:rPr>
          <w:rFonts w:ascii="Century Gothic" w:hAnsi="Century Gothic"/>
          <w:bCs/>
          <w:sz w:val="22"/>
        </w:rPr>
        <w:t>Meeting</w:t>
      </w:r>
      <w:r w:rsidR="00B14080">
        <w:rPr>
          <w:rFonts w:ascii="Century Gothic" w:hAnsi="Century Gothic"/>
          <w:bCs/>
          <w:sz w:val="22"/>
        </w:rPr>
        <w:t xml:space="preserve"> Summar</w:t>
      </w:r>
      <w:r>
        <w:rPr>
          <w:rFonts w:ascii="Century Gothic" w:hAnsi="Century Gothic"/>
          <w:bCs/>
          <w:sz w:val="22"/>
        </w:rPr>
        <w:t xml:space="preserve">y </w:t>
      </w:r>
      <w:r w:rsidR="000E7FB5">
        <w:rPr>
          <w:rFonts w:ascii="Century Gothic" w:hAnsi="Century Gothic"/>
          <w:bCs/>
          <w:sz w:val="22"/>
        </w:rPr>
        <w:t xml:space="preserve"> </w:t>
      </w:r>
    </w:p>
    <w:p w14:paraId="0DCD193A" w14:textId="77777777" w:rsidR="00B14080" w:rsidRDefault="00B14080" w:rsidP="00B14080"/>
    <w:p w14:paraId="104D87A3" w14:textId="6E833F3B" w:rsidR="00B14080" w:rsidRDefault="00B14080" w:rsidP="00B14080">
      <w:r>
        <w:t>A motion was made (</w:t>
      </w:r>
      <w:r w:rsidR="009E3054">
        <w:t>Hoyles</w:t>
      </w:r>
      <w:r>
        <w:t>) to approve the meeting summaries, properly seconded (</w:t>
      </w:r>
      <w:r w:rsidR="009E3054">
        <w:t>Wood</w:t>
      </w:r>
      <w:r>
        <w:t>) and approved by the body.</w:t>
      </w:r>
    </w:p>
    <w:p w14:paraId="09592939" w14:textId="77777777" w:rsidR="00B14080" w:rsidRDefault="00B14080" w:rsidP="00B14080"/>
    <w:p w14:paraId="3C8F1B3E" w14:textId="5109E5CE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CONSENT ORDERS</w:t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  <w:t>JAMES RICHARDSON</w:t>
      </w:r>
    </w:p>
    <w:p w14:paraId="5914E174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1A075E" w14:textId="77777777" w:rsidR="00B14080" w:rsidRDefault="00B14080" w:rsidP="00B14080">
      <w:pPr>
        <w:keepNext/>
        <w:keepLines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  <w:bookmarkStart w:id="2" w:name="_Hlk48050436"/>
      <w:r w:rsidRPr="006173A2"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  <w:t>Air/Noise</w:t>
      </w:r>
    </w:p>
    <w:p w14:paraId="2E996E07" w14:textId="77777777" w:rsidR="00B14080" w:rsidRDefault="00B14080" w:rsidP="00B14080">
      <w:pPr>
        <w:keepNext/>
        <w:keepLines/>
        <w:ind w:firstLine="720"/>
        <w:outlineLvl w:val="1"/>
        <w:rPr>
          <w:rFonts w:ascii="Century Gothic" w:eastAsia="Calibri" w:hAnsi="Century Gothic" w:cstheme="majorBidi"/>
          <w:sz w:val="22"/>
        </w:rPr>
      </w:pPr>
    </w:p>
    <w:bookmarkEnd w:id="2"/>
    <w:p w14:paraId="338F379E" w14:textId="27DA68AC" w:rsidR="00B14080" w:rsidRDefault="009E3054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None</w:t>
      </w:r>
    </w:p>
    <w:p w14:paraId="18557A26" w14:textId="77777777" w:rsidR="00B14080" w:rsidRDefault="00B14080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</w:p>
    <w:p w14:paraId="223BBDCD" w14:textId="77777777" w:rsidR="00B14080" w:rsidRDefault="00B14080" w:rsidP="00B14080">
      <w:pPr>
        <w:keepNext/>
        <w:keepLines/>
        <w:spacing w:before="40"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  <w:r w:rsidRPr="0003592F"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  <w:t>Water</w:t>
      </w:r>
    </w:p>
    <w:p w14:paraId="748BC56D" w14:textId="77777777" w:rsidR="000E7FB5" w:rsidRPr="0003592F" w:rsidRDefault="000E7FB5" w:rsidP="00B14080">
      <w:pPr>
        <w:keepNext/>
        <w:keepLines/>
        <w:spacing w:before="40"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</w:p>
    <w:p w14:paraId="4068D695" w14:textId="77777777" w:rsidR="009E3054" w:rsidRPr="009D6A0C" w:rsidRDefault="009E3054" w:rsidP="009E3054">
      <w:pPr>
        <w:pStyle w:val="ListParagraph"/>
        <w:numPr>
          <w:ilvl w:val="0"/>
          <w:numId w:val="9"/>
        </w:numPr>
        <w:ind w:left="1440"/>
        <w:rPr>
          <w:rFonts w:eastAsia="Calibri" w:cs="Arial"/>
          <w:kern w:val="2"/>
          <w:sz w:val="22"/>
          <w14:ligatures w14:val="standardContextual"/>
        </w:rPr>
      </w:pPr>
      <w:bookmarkStart w:id="3" w:name="_Hlk152841780"/>
      <w:bookmarkStart w:id="4" w:name="_Hlk168466882"/>
      <w:bookmarkStart w:id="5" w:name="_Hlk161127426"/>
      <w:r w:rsidRPr="009D6A0C">
        <w:rPr>
          <w:rFonts w:eastAsia="Arial" w:cs="Arial"/>
          <w:b/>
          <w:bCs/>
          <w:color w:val="000000"/>
          <w:kern w:val="2"/>
          <w:sz w:val="22"/>
          <w14:ligatures w14:val="standardContextual"/>
        </w:rPr>
        <w:t xml:space="preserve">Richmond American Homes of Florida, and LP and </w:t>
      </w:r>
      <w:sdt>
        <w:sdtPr>
          <w:rPr>
            <w:rFonts w:eastAsia="Calibri" w:cs="Arial"/>
            <w:b/>
            <w:bCs/>
            <w:kern w:val="2"/>
            <w:sz w:val="22"/>
            <w:szCs w:val="24"/>
            <w14:ligatures w14:val="standardContextual"/>
          </w:rPr>
          <w:id w:val="-119990873"/>
          <w:placeholder>
            <w:docPart w:val="538BF08DBE164C5E91C1A2F4EF6ABAA0"/>
          </w:placeholder>
          <w:text/>
        </w:sdtPr>
        <w:sdtContent>
          <w:r w:rsidRPr="009D6A0C">
            <w:rPr>
              <w:rFonts w:eastAsia="Calibri" w:cs="Arial"/>
              <w:b/>
              <w:bCs/>
              <w:kern w:val="2"/>
              <w:sz w:val="22"/>
              <w:szCs w:val="24"/>
              <w14:ligatures w14:val="standardContextual"/>
            </w:rPr>
            <w:t>Pipeline Constructors, Inc</w:t>
          </w:r>
        </w:sdtContent>
      </w:sdt>
      <w:bookmarkEnd w:id="4"/>
      <w:r w:rsidRPr="009D6A0C">
        <w:rPr>
          <w:rFonts w:eastAsia="Arial" w:cs="Arial"/>
          <w:b/>
          <w:bCs/>
          <w:color w:val="000000"/>
          <w:kern w:val="2"/>
          <w:sz w:val="22"/>
          <w14:ligatures w14:val="standardContextual"/>
        </w:rPr>
        <w:t xml:space="preserve"> </w:t>
      </w:r>
      <w:r w:rsidRPr="009D6A0C">
        <w:rPr>
          <w:rFonts w:eastAsia="Calibri" w:cs="Arial"/>
          <w:i/>
          <w:iCs/>
          <w:kern w:val="2"/>
          <w:sz w:val="22"/>
          <w14:ligatures w14:val="standardContextual"/>
        </w:rPr>
        <w:t xml:space="preserve">[ESC-24-12] at </w:t>
      </w:r>
      <w:r w:rsidRPr="009D6A0C">
        <w:rPr>
          <w:rFonts w:eastAsia="Calibri" w:cs="Arial"/>
          <w:kern w:val="2"/>
          <w:sz w:val="22"/>
          <w14:ligatures w14:val="standardContextual"/>
        </w:rPr>
        <w:t>6065 Crossroads Station Drive</w:t>
      </w:r>
      <w:r w:rsidRPr="009D6A0C">
        <w:rPr>
          <w:rFonts w:eastAsia="Calibri" w:cs="Arial"/>
          <w:i/>
          <w:iCs/>
          <w:kern w:val="2"/>
          <w:sz w:val="22"/>
          <w14:ligatures w14:val="standardContextual"/>
        </w:rPr>
        <w:t xml:space="preserve"> (Exhibit A)] </w:t>
      </w:r>
      <w:r w:rsidRPr="009D6A0C">
        <w:rPr>
          <w:rFonts w:eastAsia="Calibri" w:cs="Arial"/>
          <w:kern w:val="2"/>
          <w:sz w:val="22"/>
          <w14:ligatures w14:val="standardContextual"/>
        </w:rPr>
        <w:t>Discharge of non-stormwater to City municipal separate storm sewer system (“MS4”); Failure to comply with erosion and sediment control requirements.</w:t>
      </w:r>
    </w:p>
    <w:p w14:paraId="10FCF051" w14:textId="77777777" w:rsidR="009E3054" w:rsidRDefault="009E3054" w:rsidP="009E3054">
      <w:pPr>
        <w:rPr>
          <w:sz w:val="20"/>
          <w:szCs w:val="20"/>
        </w:rPr>
      </w:pPr>
    </w:p>
    <w:bookmarkEnd w:id="5"/>
    <w:p w14:paraId="529C1344" w14:textId="77777777" w:rsidR="009E3054" w:rsidRPr="00462CCE" w:rsidRDefault="009E3054" w:rsidP="009E3054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Corrective Actions:</w:t>
      </w:r>
    </w:p>
    <w:p w14:paraId="489BE840" w14:textId="77777777" w:rsidR="009E3054" w:rsidRPr="009D6A0C" w:rsidRDefault="009E3054" w:rsidP="009E3054">
      <w:pPr>
        <w:ind w:left="1440" w:firstLine="720"/>
        <w:rPr>
          <w:rFonts w:eastAsia="Times New Roman"/>
          <w:bCs/>
          <w:snapToGrid w:val="0"/>
          <w:sz w:val="18"/>
          <w:szCs w:val="18"/>
        </w:rPr>
      </w:pPr>
      <w:r w:rsidRPr="009D6A0C">
        <w:rPr>
          <w:rFonts w:eastAsia="Times New Roman"/>
          <w:bCs/>
          <w:snapToGrid w:val="0"/>
          <w:sz w:val="18"/>
          <w:szCs w:val="18"/>
        </w:rPr>
        <w:t>Silt fence repaired, and sod installed with more perimeter controls</w:t>
      </w:r>
    </w:p>
    <w:p w14:paraId="2029C335" w14:textId="77777777" w:rsidR="009E3054" w:rsidRPr="00462CCE" w:rsidRDefault="009E3054" w:rsidP="009E3054">
      <w:pPr>
        <w:ind w:left="2160"/>
        <w:rPr>
          <w:bCs/>
          <w:sz w:val="18"/>
          <w:szCs w:val="18"/>
          <w:u w:val="single"/>
        </w:rPr>
      </w:pPr>
    </w:p>
    <w:p w14:paraId="7D328791" w14:textId="77777777" w:rsidR="009E3054" w:rsidRPr="00462CCE" w:rsidRDefault="009E3054" w:rsidP="009E3054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 xml:space="preserve">Consent Order settlement fee: </w:t>
      </w:r>
    </w:p>
    <w:p w14:paraId="1687B22D" w14:textId="77777777" w:rsidR="009E3054" w:rsidRPr="00462CCE" w:rsidRDefault="009E3054" w:rsidP="009E3054">
      <w:pPr>
        <w:ind w:left="2160"/>
        <w:rPr>
          <w:b/>
          <w:sz w:val="18"/>
          <w:szCs w:val="18"/>
        </w:rPr>
      </w:pPr>
      <w:r w:rsidRPr="00462CCE">
        <w:rPr>
          <w:b/>
          <w:sz w:val="18"/>
          <w:szCs w:val="18"/>
        </w:rPr>
        <w:t>$2</w:t>
      </w:r>
      <w:r>
        <w:rPr>
          <w:b/>
          <w:sz w:val="18"/>
          <w:szCs w:val="18"/>
        </w:rPr>
        <w:t>,3</w:t>
      </w:r>
      <w:r w:rsidRPr="00462CCE">
        <w:rPr>
          <w:b/>
          <w:sz w:val="18"/>
          <w:szCs w:val="18"/>
        </w:rPr>
        <w:t>00</w:t>
      </w:r>
    </w:p>
    <w:p w14:paraId="6ECB1C6C" w14:textId="77777777" w:rsidR="009E3054" w:rsidRPr="00462CCE" w:rsidRDefault="009E3054" w:rsidP="009E3054">
      <w:pPr>
        <w:ind w:left="2160"/>
        <w:rPr>
          <w:bCs/>
          <w:sz w:val="18"/>
          <w:szCs w:val="18"/>
          <w:u w:val="single"/>
        </w:rPr>
      </w:pPr>
    </w:p>
    <w:p w14:paraId="010E3E4B" w14:textId="77777777" w:rsidR="009E3054" w:rsidRPr="00462CCE" w:rsidRDefault="009E3054" w:rsidP="009E3054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Consent Order requirements:</w:t>
      </w:r>
    </w:p>
    <w:p w14:paraId="1A787BD2" w14:textId="77777777" w:rsidR="009E3054" w:rsidRPr="00462CCE" w:rsidRDefault="009E3054" w:rsidP="009E3054">
      <w:pPr>
        <w:ind w:left="2160"/>
        <w:rPr>
          <w:bCs/>
          <w:sz w:val="18"/>
          <w:szCs w:val="18"/>
        </w:rPr>
      </w:pPr>
      <w:r w:rsidRPr="00462CCE">
        <w:rPr>
          <w:bCs/>
          <w:sz w:val="18"/>
          <w:szCs w:val="18"/>
        </w:rPr>
        <w:t>Penalty payment only.</w:t>
      </w:r>
    </w:p>
    <w:p w14:paraId="1B32E017" w14:textId="77777777" w:rsidR="009E3054" w:rsidRDefault="009E3054" w:rsidP="009E3054">
      <w:pPr>
        <w:ind w:left="2160"/>
        <w:rPr>
          <w:sz w:val="18"/>
          <w:szCs w:val="18"/>
        </w:rPr>
      </w:pPr>
    </w:p>
    <w:p w14:paraId="09CB8533" w14:textId="77777777" w:rsidR="009E3054" w:rsidRDefault="009E3054" w:rsidP="009E3054">
      <w:pPr>
        <w:ind w:left="2160"/>
        <w:rPr>
          <w:sz w:val="18"/>
          <w:szCs w:val="18"/>
        </w:rPr>
      </w:pPr>
    </w:p>
    <w:p w14:paraId="459B79C9" w14:textId="74E9017C" w:rsidR="009E3054" w:rsidRPr="00133232" w:rsidRDefault="009E3054" w:rsidP="009E3054">
      <w:pPr>
        <w:rPr>
          <w:rFonts w:eastAsia="Times New Roman" w:cs="Arial"/>
          <w:bCs/>
          <w:snapToGrid w:val="0"/>
          <w:szCs w:val="24"/>
        </w:rPr>
      </w:pPr>
      <w:r w:rsidRPr="00133232">
        <w:rPr>
          <w:rFonts w:eastAsia="Times New Roman" w:cs="Arial"/>
          <w:bCs/>
          <w:snapToGrid w:val="0"/>
          <w:szCs w:val="24"/>
        </w:rPr>
        <w:t>A motion was made to approve</w:t>
      </w:r>
      <w:r>
        <w:rPr>
          <w:rFonts w:eastAsia="Times New Roman" w:cs="Arial"/>
          <w:bCs/>
          <w:snapToGrid w:val="0"/>
          <w:szCs w:val="24"/>
        </w:rPr>
        <w:t xml:space="preserve"> </w:t>
      </w:r>
      <w:r w:rsidRPr="00133232">
        <w:rPr>
          <w:rFonts w:eastAsia="Times New Roman" w:cs="Arial"/>
          <w:bCs/>
          <w:snapToGrid w:val="0"/>
          <w:szCs w:val="24"/>
        </w:rPr>
        <w:t>the consent order as presented (</w:t>
      </w:r>
      <w:r>
        <w:rPr>
          <w:rFonts w:eastAsia="Times New Roman" w:cs="Arial"/>
          <w:bCs/>
          <w:snapToGrid w:val="0"/>
          <w:szCs w:val="24"/>
        </w:rPr>
        <w:t>Hoyles</w:t>
      </w:r>
      <w:r w:rsidRPr="00133232">
        <w:rPr>
          <w:rFonts w:eastAsia="Times New Roman" w:cs="Arial"/>
          <w:bCs/>
          <w:snapToGrid w:val="0"/>
          <w:szCs w:val="24"/>
        </w:rPr>
        <w:t>), properly seconded (</w:t>
      </w:r>
      <w:r>
        <w:rPr>
          <w:rFonts w:eastAsia="Times New Roman" w:cs="Arial"/>
          <w:bCs/>
          <w:snapToGrid w:val="0"/>
          <w:szCs w:val="24"/>
        </w:rPr>
        <w:t>Wood</w:t>
      </w:r>
      <w:r w:rsidRPr="00133232">
        <w:rPr>
          <w:rFonts w:eastAsia="Times New Roman" w:cs="Arial"/>
          <w:bCs/>
          <w:snapToGrid w:val="0"/>
          <w:szCs w:val="24"/>
        </w:rPr>
        <w:t>) and approved by the body.</w:t>
      </w:r>
    </w:p>
    <w:p w14:paraId="4FE3C659" w14:textId="77777777" w:rsidR="009E3054" w:rsidRDefault="009E3054" w:rsidP="009E3054">
      <w:pPr>
        <w:ind w:left="2160"/>
        <w:rPr>
          <w:sz w:val="18"/>
          <w:szCs w:val="18"/>
        </w:rPr>
      </w:pPr>
    </w:p>
    <w:p w14:paraId="753C89CA" w14:textId="77777777" w:rsidR="009E3054" w:rsidRDefault="009E3054" w:rsidP="009E3054">
      <w:pPr>
        <w:ind w:left="2160"/>
        <w:rPr>
          <w:sz w:val="18"/>
          <w:szCs w:val="18"/>
        </w:rPr>
      </w:pPr>
    </w:p>
    <w:p w14:paraId="573F56D9" w14:textId="77777777" w:rsidR="009E3054" w:rsidRDefault="009E3054" w:rsidP="009E3054">
      <w:pPr>
        <w:ind w:left="2160"/>
        <w:rPr>
          <w:sz w:val="18"/>
          <w:szCs w:val="18"/>
        </w:rPr>
      </w:pPr>
    </w:p>
    <w:p w14:paraId="233BAAC1" w14:textId="77777777" w:rsidR="009E3054" w:rsidRDefault="009E3054" w:rsidP="009E3054">
      <w:pPr>
        <w:ind w:left="2160"/>
        <w:rPr>
          <w:sz w:val="18"/>
          <w:szCs w:val="18"/>
        </w:rPr>
      </w:pPr>
    </w:p>
    <w:p w14:paraId="35E5B09F" w14:textId="77777777" w:rsidR="009E3054" w:rsidRDefault="009E3054" w:rsidP="009E3054">
      <w:pPr>
        <w:ind w:left="2160"/>
        <w:rPr>
          <w:sz w:val="18"/>
          <w:szCs w:val="18"/>
        </w:rPr>
      </w:pPr>
    </w:p>
    <w:p w14:paraId="197AFC03" w14:textId="77777777" w:rsidR="009E3054" w:rsidRDefault="009E3054" w:rsidP="009E3054">
      <w:pPr>
        <w:ind w:left="2160"/>
        <w:rPr>
          <w:sz w:val="18"/>
          <w:szCs w:val="18"/>
        </w:rPr>
      </w:pPr>
    </w:p>
    <w:p w14:paraId="3825A870" w14:textId="77777777" w:rsidR="009E3054" w:rsidRDefault="009E3054" w:rsidP="009E3054">
      <w:pPr>
        <w:ind w:left="2160"/>
        <w:rPr>
          <w:sz w:val="18"/>
          <w:szCs w:val="18"/>
        </w:rPr>
      </w:pPr>
    </w:p>
    <w:p w14:paraId="22035E0B" w14:textId="77777777" w:rsidR="009E3054" w:rsidRPr="00841351" w:rsidRDefault="009E3054" w:rsidP="009E3054">
      <w:pPr>
        <w:pStyle w:val="ListParagraph"/>
        <w:numPr>
          <w:ilvl w:val="0"/>
          <w:numId w:val="9"/>
        </w:numPr>
        <w:spacing w:line="223" w:lineRule="auto"/>
        <w:rPr>
          <w:rFonts w:eastAsia="Calibri" w:cs="Arial"/>
          <w:kern w:val="2"/>
          <w:sz w:val="22"/>
          <w14:ligatures w14:val="standardContextual"/>
        </w:rPr>
      </w:pPr>
      <w:sdt>
        <w:sdtPr>
          <w:rPr>
            <w:rFonts w:eastAsia="Times New Roman" w:cs="Arial"/>
            <w:b/>
            <w:bCs/>
            <w:sz w:val="22"/>
          </w:rPr>
          <w:id w:val="219718878"/>
          <w:placeholder>
            <w:docPart w:val="84338F0C702C498FAB3A5B36482AFF69"/>
          </w:placeholder>
          <w:text/>
        </w:sdtPr>
        <w:sdtContent>
          <w:r w:rsidRPr="00841351">
            <w:rPr>
              <w:rFonts w:eastAsia="Times New Roman" w:cs="Arial"/>
              <w:b/>
              <w:bCs/>
              <w:sz w:val="22"/>
            </w:rPr>
            <w:t>Midtown Oaks Apts LP, and Midtown Oaks Apts II LLC,</w:t>
          </w:r>
        </w:sdtContent>
      </w:sdt>
      <w:r w:rsidRPr="00841351">
        <w:rPr>
          <w:rFonts w:eastAsia="Calibri" w:cs="Arial"/>
          <w:kern w:val="2"/>
          <w:sz w:val="22"/>
          <w14:ligatures w14:val="standardContextual"/>
        </w:rPr>
        <w:t xml:space="preserve"> - Respondent</w:t>
      </w:r>
    </w:p>
    <w:p w14:paraId="763B9712" w14:textId="77777777" w:rsidR="009E3054" w:rsidRPr="00841351" w:rsidRDefault="009E3054" w:rsidP="009E3054">
      <w:pPr>
        <w:spacing w:line="223" w:lineRule="auto"/>
        <w:rPr>
          <w:rFonts w:eastAsia="Calibri" w:cs="Arial"/>
          <w:kern w:val="2"/>
          <w:sz w:val="22"/>
          <w14:ligatures w14:val="standardContextual"/>
        </w:rPr>
      </w:pPr>
    </w:p>
    <w:p w14:paraId="671F8DE4" w14:textId="77777777" w:rsidR="009E3054" w:rsidRPr="00841351" w:rsidRDefault="009E3054" w:rsidP="009E3054">
      <w:pPr>
        <w:widowControl w:val="0"/>
        <w:ind w:left="2160"/>
        <w:jc w:val="both"/>
        <w:rPr>
          <w:rFonts w:eastAsia="Times New Roman" w:cs="Arial"/>
          <w:b/>
          <w:bCs/>
          <w:snapToGrid w:val="0"/>
          <w:sz w:val="18"/>
          <w:szCs w:val="18"/>
        </w:rPr>
      </w:pPr>
      <w:r w:rsidRPr="00841351">
        <w:rPr>
          <w:rFonts w:eastAsia="Times New Roman" w:cs="Arial"/>
          <w:snapToGrid w:val="0"/>
          <w:sz w:val="18"/>
          <w:szCs w:val="18"/>
          <w:u w:val="single"/>
        </w:rPr>
        <w:t>Alleged violation(s)</w:t>
      </w:r>
      <w:r w:rsidRPr="00841351">
        <w:rPr>
          <w:rFonts w:eastAsia="Times New Roman" w:cs="Arial"/>
          <w:b/>
          <w:bCs/>
          <w:snapToGrid w:val="0"/>
          <w:sz w:val="18"/>
          <w:szCs w:val="18"/>
        </w:rPr>
        <w:t>:</w:t>
      </w:r>
    </w:p>
    <w:p w14:paraId="40934383" w14:textId="77777777" w:rsidR="009E3054" w:rsidRDefault="009E3054" w:rsidP="009E3054">
      <w:pPr>
        <w:widowControl w:val="0"/>
        <w:ind w:left="2160"/>
        <w:jc w:val="both"/>
        <w:rPr>
          <w:rFonts w:eastAsia="Arial" w:cs="Arial"/>
          <w:sz w:val="18"/>
          <w:szCs w:val="18"/>
        </w:rPr>
      </w:pPr>
      <w:r w:rsidRPr="00841351">
        <w:rPr>
          <w:rFonts w:eastAsia="Arial" w:cs="Arial"/>
          <w:sz w:val="18"/>
          <w:szCs w:val="18"/>
        </w:rPr>
        <w:t>Discharge of untreated wastewater to the ground, surrounding environment and surface water; Failure to maintain wastewater collection/transmission system to function as intended; Bypass of system or treatment facility; Failure to comply with sewerage design standards; Failure to have recorded OMR Agreement</w:t>
      </w:r>
    </w:p>
    <w:p w14:paraId="6C91D0B4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sz w:val="18"/>
          <w:szCs w:val="18"/>
        </w:rPr>
      </w:pPr>
    </w:p>
    <w:p w14:paraId="31007A9C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Rules allegedly violated:</w:t>
      </w:r>
    </w:p>
    <w:p w14:paraId="7A6C77D4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sz w:val="18"/>
          <w:szCs w:val="18"/>
        </w:rPr>
        <w:t xml:space="preserve">JEPB Rules </w:t>
      </w:r>
      <w:sdt>
        <w:sdtPr>
          <w:rPr>
            <w:rFonts w:eastAsia="Arial" w:cs="Arial"/>
            <w:sz w:val="18"/>
            <w:szCs w:val="18"/>
          </w:rPr>
          <w:id w:val="-1550065208"/>
          <w:placeholder>
            <w:docPart w:val="B0923ADEEC9D4A65945242F3AF14BABD"/>
          </w:placeholder>
        </w:sdtPr>
        <w:sdtContent>
          <w:r w:rsidRPr="00841351">
            <w:rPr>
              <w:rFonts w:eastAsia="Arial" w:cs="Arial"/>
              <w:sz w:val="18"/>
              <w:szCs w:val="18"/>
            </w:rPr>
            <w:t xml:space="preserve">3.103B, 3.103.H., 3.103.I, 3.103.GG, 3.103.G, 3.105.E, 3.104.B, 3.405.A.4 </w:t>
          </w:r>
        </w:sdtContent>
      </w:sdt>
    </w:p>
    <w:p w14:paraId="2E3DF2F5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199E6D0F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p w14:paraId="6DCA99EF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JEA replace valve on shared force main</w:t>
      </w:r>
    </w:p>
    <w:p w14:paraId="10805C97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276CBC96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118B9505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N/A</w:t>
      </w:r>
    </w:p>
    <w:p w14:paraId="32E0A214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6EB6BB1F" w14:textId="77777777" w:rsidR="009E3054" w:rsidRPr="00841351" w:rsidRDefault="009E3054" w:rsidP="009E3054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733576A4" w14:textId="77777777" w:rsidR="009E3054" w:rsidRPr="00841351" w:rsidRDefault="009E3054" w:rsidP="009E3054">
      <w:pPr>
        <w:pStyle w:val="ListParagraph"/>
        <w:widowControl w:val="0"/>
        <w:numPr>
          <w:ilvl w:val="3"/>
          <w:numId w:val="9"/>
        </w:numPr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Education Campaign – within 30 days</w:t>
      </w:r>
    </w:p>
    <w:p w14:paraId="65155E72" w14:textId="77777777" w:rsidR="009E3054" w:rsidRPr="00841351" w:rsidRDefault="009E3054" w:rsidP="009E3054">
      <w:pPr>
        <w:pStyle w:val="ListParagraph"/>
        <w:widowControl w:val="0"/>
        <w:numPr>
          <w:ilvl w:val="3"/>
          <w:numId w:val="9"/>
        </w:numPr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OMR Agreement by July 1 but extension can be requested if progress is made</w:t>
      </w:r>
    </w:p>
    <w:p w14:paraId="7FD538C4" w14:textId="77777777" w:rsidR="009E3054" w:rsidRPr="00841351" w:rsidRDefault="009E3054" w:rsidP="009E3054">
      <w:pPr>
        <w:pStyle w:val="ListParagraph"/>
        <w:widowControl w:val="0"/>
        <w:numPr>
          <w:ilvl w:val="3"/>
          <w:numId w:val="9"/>
        </w:numPr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Engineering Report – within 60 days</w:t>
      </w:r>
    </w:p>
    <w:p w14:paraId="31EFB2FC" w14:textId="77777777" w:rsidR="009E3054" w:rsidRPr="00841351" w:rsidRDefault="009E3054" w:rsidP="009E3054">
      <w:pPr>
        <w:pStyle w:val="ListParagraph"/>
        <w:widowControl w:val="0"/>
        <w:numPr>
          <w:ilvl w:val="3"/>
          <w:numId w:val="9"/>
        </w:numPr>
        <w:jc w:val="both"/>
        <w:rPr>
          <w:rFonts w:eastAsia="Arial" w:cs="Arial"/>
          <w:bCs/>
          <w:sz w:val="18"/>
          <w:szCs w:val="18"/>
        </w:rPr>
      </w:pPr>
      <w:r w:rsidRPr="00841351">
        <w:rPr>
          <w:rFonts w:eastAsia="Arial" w:cs="Arial"/>
          <w:bCs/>
          <w:sz w:val="18"/>
          <w:szCs w:val="18"/>
        </w:rPr>
        <w:t>Monthly Status Reports and monthly maintenance reports - ongoing</w:t>
      </w:r>
    </w:p>
    <w:p w14:paraId="7BDE7884" w14:textId="77777777" w:rsidR="00B14080" w:rsidRPr="00C5286D" w:rsidRDefault="00B14080" w:rsidP="00B14080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20C25345" w14:textId="69C953B5" w:rsidR="00B14080" w:rsidRPr="00133232" w:rsidRDefault="00B14080" w:rsidP="00B14080">
      <w:pPr>
        <w:rPr>
          <w:rFonts w:eastAsia="Times New Roman" w:cs="Arial"/>
          <w:bCs/>
          <w:snapToGrid w:val="0"/>
          <w:szCs w:val="24"/>
        </w:rPr>
      </w:pPr>
      <w:bookmarkStart w:id="6" w:name="_Hlk171423201"/>
      <w:r w:rsidRPr="00133232">
        <w:rPr>
          <w:rFonts w:eastAsia="Times New Roman" w:cs="Arial"/>
          <w:bCs/>
          <w:snapToGrid w:val="0"/>
          <w:szCs w:val="24"/>
        </w:rPr>
        <w:t>A motion was made to approve</w:t>
      </w:r>
      <w:r>
        <w:rPr>
          <w:rFonts w:eastAsia="Times New Roman" w:cs="Arial"/>
          <w:bCs/>
          <w:snapToGrid w:val="0"/>
          <w:szCs w:val="24"/>
        </w:rPr>
        <w:t xml:space="preserve"> </w:t>
      </w:r>
      <w:r w:rsidRPr="00133232">
        <w:rPr>
          <w:rFonts w:eastAsia="Times New Roman" w:cs="Arial"/>
          <w:bCs/>
          <w:snapToGrid w:val="0"/>
          <w:szCs w:val="24"/>
        </w:rPr>
        <w:t xml:space="preserve">the </w:t>
      </w:r>
      <w:r>
        <w:rPr>
          <w:rFonts w:eastAsia="Times New Roman" w:cs="Arial"/>
          <w:bCs/>
          <w:snapToGrid w:val="0"/>
          <w:szCs w:val="24"/>
        </w:rPr>
        <w:t xml:space="preserve">Water </w:t>
      </w:r>
      <w:r w:rsidRPr="00133232">
        <w:rPr>
          <w:rFonts w:eastAsia="Times New Roman" w:cs="Arial"/>
          <w:bCs/>
          <w:snapToGrid w:val="0"/>
          <w:szCs w:val="24"/>
        </w:rPr>
        <w:t>consent orders as presented (</w:t>
      </w:r>
      <w:r w:rsidR="009E3054">
        <w:rPr>
          <w:rFonts w:eastAsia="Times New Roman" w:cs="Arial"/>
          <w:bCs/>
          <w:snapToGrid w:val="0"/>
          <w:szCs w:val="24"/>
        </w:rPr>
        <w:t>Wood</w:t>
      </w:r>
      <w:r w:rsidRPr="00133232">
        <w:rPr>
          <w:rFonts w:eastAsia="Times New Roman" w:cs="Arial"/>
          <w:bCs/>
          <w:snapToGrid w:val="0"/>
          <w:szCs w:val="24"/>
        </w:rPr>
        <w:t>), properly seconded (</w:t>
      </w:r>
      <w:r w:rsidR="009E3054">
        <w:rPr>
          <w:rFonts w:eastAsia="Times New Roman" w:cs="Arial"/>
          <w:bCs/>
          <w:snapToGrid w:val="0"/>
          <w:szCs w:val="24"/>
        </w:rPr>
        <w:t>Hoyles</w:t>
      </w:r>
      <w:r w:rsidRPr="00133232">
        <w:rPr>
          <w:rFonts w:eastAsia="Times New Roman" w:cs="Arial"/>
          <w:bCs/>
          <w:snapToGrid w:val="0"/>
          <w:szCs w:val="24"/>
        </w:rPr>
        <w:t>) and approved by the body.</w:t>
      </w:r>
    </w:p>
    <w:bookmarkEnd w:id="3"/>
    <w:bookmarkEnd w:id="6"/>
    <w:p w14:paraId="5A014685" w14:textId="77777777" w:rsidR="00B14080" w:rsidRDefault="00B14080" w:rsidP="00B14080">
      <w:pPr>
        <w:rPr>
          <w:rFonts w:eastAsia="Times New Roman" w:cs="Arial"/>
          <w:bCs/>
          <w:snapToGrid w:val="0"/>
          <w:sz w:val="21"/>
          <w:szCs w:val="21"/>
        </w:rPr>
      </w:pPr>
    </w:p>
    <w:p w14:paraId="7DFB4EF4" w14:textId="068C0606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NFORCEMENT REPORT 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JAMES RICHARDSON</w:t>
      </w:r>
    </w:p>
    <w:p w14:paraId="2D10E366" w14:textId="16E4B998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There were no questions or concerns.</w:t>
      </w:r>
    </w:p>
    <w:p w14:paraId="7BF08429" w14:textId="77777777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</w:p>
    <w:p w14:paraId="550B1D5E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NEW BUSINESS</w:t>
      </w:r>
    </w:p>
    <w:p w14:paraId="26727E62" w14:textId="0720D0DE" w:rsidR="00B14080" w:rsidRDefault="00B14080" w:rsidP="00B14080">
      <w:pPr>
        <w:numPr>
          <w:ilvl w:val="1"/>
          <w:numId w:val="5"/>
        </w:numPr>
        <w:ind w:left="720" w:hanging="1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Noise Variance Request – </w:t>
      </w:r>
      <w:r w:rsidR="00EE2BB6">
        <w:rPr>
          <w:rFonts w:ascii="Century Gothic" w:hAnsi="Century Gothic"/>
          <w:sz w:val="22"/>
        </w:rPr>
        <w:t>Summit Contracting Group</w:t>
      </w:r>
    </w:p>
    <w:p w14:paraId="11674A46" w14:textId="77777777" w:rsidR="00B14080" w:rsidRDefault="00B14080" w:rsidP="00B14080">
      <w:pPr>
        <w:numPr>
          <w:ilvl w:val="2"/>
          <w:numId w:val="5"/>
        </w:numPr>
        <w:ind w:left="1800"/>
        <w:rPr>
          <w:rFonts w:ascii="Century Gothic" w:hAnsi="Century Gothic"/>
          <w:sz w:val="22"/>
        </w:rPr>
      </w:pPr>
      <w:bookmarkStart w:id="7" w:name="_Hlk150512030"/>
      <w:r w:rsidRPr="00C06AEF">
        <w:rPr>
          <w:rFonts w:ascii="Century Gothic" w:hAnsi="Century Gothic"/>
          <w:sz w:val="22"/>
        </w:rPr>
        <w:t>Waive JEPB Rule 1.602(e)</w:t>
      </w:r>
    </w:p>
    <w:p w14:paraId="42991CA5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06ECCF25" w14:textId="77777777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Mr. Richardson shared that construction had begun on the property and is ongoing.  Due to this, he asked that the Board waive the portion of Rule 1 requiring a hearing before the Air Committee.</w:t>
      </w:r>
    </w:p>
    <w:p w14:paraId="45D372D1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5BE8947D" w14:textId="4DA1B540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 motion to waive JEPB Rule 1.602(e) was made (</w:t>
      </w:r>
      <w:r w:rsidR="00EE2BB6">
        <w:rPr>
          <w:rFonts w:ascii="Century Gothic" w:hAnsi="Century Gothic"/>
          <w:sz w:val="22"/>
        </w:rPr>
        <w:t>Gellers</w:t>
      </w:r>
      <w:r>
        <w:rPr>
          <w:rFonts w:ascii="Century Gothic" w:hAnsi="Century Gothic"/>
          <w:sz w:val="22"/>
        </w:rPr>
        <w:t>), properly seconded (</w:t>
      </w:r>
      <w:r w:rsidR="00EE2BB6">
        <w:rPr>
          <w:rFonts w:ascii="Century Gothic" w:hAnsi="Century Gothic"/>
          <w:sz w:val="22"/>
        </w:rPr>
        <w:t>Wood</w:t>
      </w:r>
      <w:r>
        <w:rPr>
          <w:rFonts w:ascii="Century Gothic" w:hAnsi="Century Gothic"/>
          <w:sz w:val="22"/>
        </w:rPr>
        <w:t>) and approved by the body.</w:t>
      </w:r>
    </w:p>
    <w:p w14:paraId="04957414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7492CF9F" w14:textId="7BB046E6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Mr. Richardson shared that the required public notice was made.  </w:t>
      </w:r>
      <w:r w:rsidR="00EE2BB6">
        <w:rPr>
          <w:rFonts w:ascii="Century Gothic" w:hAnsi="Century Gothic"/>
          <w:sz w:val="22"/>
        </w:rPr>
        <w:t xml:space="preserve">Eric Jud, with Summit, </w:t>
      </w:r>
      <w:r>
        <w:rPr>
          <w:rFonts w:ascii="Century Gothic" w:hAnsi="Century Gothic"/>
          <w:sz w:val="22"/>
        </w:rPr>
        <w:t>then shared a presentation on the project and why the variance was being sought.  Mike Williams, EQD Air Branch, then shared a presentation on his technical review of the application and his recommendation to approve the variance with conditions.</w:t>
      </w:r>
    </w:p>
    <w:p w14:paraId="3F33F4FB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5FF28FA6" w14:textId="1ED711E0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 motion was made to approve the variance with the conditions recommended by staff (</w:t>
      </w:r>
      <w:r w:rsidR="00EE2BB6">
        <w:rPr>
          <w:rFonts w:ascii="Century Gothic" w:hAnsi="Century Gothic"/>
          <w:sz w:val="22"/>
        </w:rPr>
        <w:t>Hoyles</w:t>
      </w:r>
      <w:r>
        <w:rPr>
          <w:rFonts w:ascii="Century Gothic" w:hAnsi="Century Gothic"/>
          <w:sz w:val="22"/>
        </w:rPr>
        <w:t>) and properly seconded (</w:t>
      </w:r>
      <w:r w:rsidR="00EE2BB6">
        <w:rPr>
          <w:rFonts w:ascii="Century Gothic" w:hAnsi="Century Gothic"/>
          <w:sz w:val="22"/>
        </w:rPr>
        <w:t>Wood</w:t>
      </w:r>
      <w:r>
        <w:rPr>
          <w:rFonts w:ascii="Century Gothic" w:hAnsi="Century Gothic"/>
          <w:sz w:val="22"/>
        </w:rPr>
        <w:t>).</w:t>
      </w:r>
    </w:p>
    <w:p w14:paraId="777DC6FE" w14:textId="77777777" w:rsidR="00B14080" w:rsidRDefault="00B14080" w:rsidP="00B14080">
      <w:pPr>
        <w:rPr>
          <w:rFonts w:ascii="Century Gothic" w:hAnsi="Century Gothic"/>
          <w:sz w:val="22"/>
        </w:rPr>
      </w:pPr>
    </w:p>
    <w:bookmarkEnd w:id="7"/>
    <w:p w14:paraId="64CADF32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PRESENTATION(s)</w:t>
      </w:r>
      <w:bookmarkStart w:id="8" w:name="_Hlk92377225"/>
    </w:p>
    <w:p w14:paraId="55E15E73" w14:textId="77777777" w:rsidR="00B14080" w:rsidRPr="00133232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None</w:t>
      </w:r>
    </w:p>
    <w:bookmarkEnd w:id="8"/>
    <w:p w14:paraId="41F14116" w14:textId="77777777" w:rsidR="00B14080" w:rsidRPr="00EF6F8F" w:rsidRDefault="00B14080" w:rsidP="00B14080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5F5AC4A1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>PUBLIC HEARING(s)</w:t>
      </w:r>
    </w:p>
    <w:p w14:paraId="383633F3" w14:textId="575324ED" w:rsidR="00B14080" w:rsidRDefault="00E8229C" w:rsidP="00B14080">
      <w:pPr>
        <w:keepNext/>
        <w:keepLines/>
        <w:spacing w:before="40"/>
        <w:outlineLvl w:val="1"/>
        <w:rPr>
          <w:rFonts w:ascii="Century Gothic" w:eastAsiaTheme="majorEastAsia" w:hAnsi="Century Gothic" w:cs="Arial"/>
          <w:sz w:val="22"/>
        </w:rPr>
      </w:pPr>
      <w:bookmarkStart w:id="9" w:name="_Hlk120015197"/>
      <w:r w:rsidRPr="00E8229C">
        <w:rPr>
          <w:rFonts w:ascii="Century Gothic" w:eastAsiaTheme="majorEastAsia" w:hAnsi="Century Gothic" w:cs="Arial"/>
          <w:sz w:val="22"/>
        </w:rPr>
        <w:t>Rulemaking – JEPB Rule 2</w:t>
      </w:r>
    </w:p>
    <w:p w14:paraId="44A846F2" w14:textId="77777777" w:rsidR="00E8229C" w:rsidRDefault="00E8229C" w:rsidP="00E8229C">
      <w:pPr>
        <w:keepNext/>
        <w:keepLines/>
        <w:spacing w:before="40"/>
        <w:outlineLvl w:val="1"/>
        <w:rPr>
          <w:rFonts w:ascii="Century Gothic" w:eastAsiaTheme="majorEastAsia" w:hAnsi="Century Gothic" w:cs="Arial"/>
          <w:sz w:val="22"/>
        </w:rPr>
      </w:pPr>
    </w:p>
    <w:p w14:paraId="7F897077" w14:textId="34EFE3E3" w:rsidR="00E8229C" w:rsidRDefault="00E8229C" w:rsidP="00E8229C">
      <w:pPr>
        <w:keepNext/>
        <w:keepLines/>
        <w:spacing w:before="40"/>
        <w:outlineLvl w:val="1"/>
        <w:rPr>
          <w:rFonts w:ascii="Century Gothic" w:eastAsiaTheme="majorEastAsia" w:hAnsi="Century Gothic" w:cs="Arial"/>
          <w:sz w:val="22"/>
        </w:rPr>
      </w:pPr>
      <w:r>
        <w:rPr>
          <w:rFonts w:ascii="Century Gothic" w:eastAsiaTheme="majorEastAsia" w:hAnsi="Century Gothic" w:cs="Arial"/>
          <w:sz w:val="22"/>
        </w:rPr>
        <w:t xml:space="preserve">Mr. Richardson certified that the required public notice was done.  Chief Long discussed the proposed rule language amendments and recommended JEPB approval.  </w:t>
      </w:r>
    </w:p>
    <w:p w14:paraId="7562C144" w14:textId="77777777" w:rsidR="00E8229C" w:rsidRDefault="00E8229C" w:rsidP="00E8229C">
      <w:pPr>
        <w:keepNext/>
        <w:keepLines/>
        <w:spacing w:before="40"/>
        <w:outlineLvl w:val="1"/>
        <w:rPr>
          <w:rFonts w:ascii="Century Gothic" w:eastAsiaTheme="majorEastAsia" w:hAnsi="Century Gothic" w:cs="Arial"/>
          <w:sz w:val="22"/>
        </w:rPr>
      </w:pPr>
    </w:p>
    <w:p w14:paraId="6FA128A9" w14:textId="73BE13F4" w:rsidR="00E8229C" w:rsidRPr="00E8229C" w:rsidRDefault="00E8229C" w:rsidP="00E8229C">
      <w:pPr>
        <w:keepNext/>
        <w:keepLines/>
        <w:spacing w:before="40"/>
        <w:outlineLvl w:val="1"/>
        <w:rPr>
          <w:rFonts w:ascii="Century Gothic" w:eastAsiaTheme="majorEastAsia" w:hAnsi="Century Gothic" w:cs="Arial"/>
          <w:sz w:val="22"/>
        </w:rPr>
      </w:pPr>
      <w:r>
        <w:rPr>
          <w:rFonts w:ascii="Century Gothic" w:eastAsiaTheme="majorEastAsia" w:hAnsi="Century Gothic" w:cs="Arial"/>
          <w:sz w:val="22"/>
        </w:rPr>
        <w:t>A motion to approve the changes as recommended was made (Hoyles), properly seconded (Noble) and approved by the body.</w:t>
      </w:r>
    </w:p>
    <w:bookmarkEnd w:id="9"/>
    <w:p w14:paraId="1273B47E" w14:textId="77777777" w:rsidR="00B14080" w:rsidRPr="00937E1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p w14:paraId="7BDFF6A0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0" w:name="_Hlk120015261"/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OLD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BUSINESS</w:t>
      </w:r>
    </w:p>
    <w:p w14:paraId="5A054272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bookmarkEnd w:id="10"/>
    <w:p w14:paraId="16D30607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70526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COMMISSION &amp; JEPB COMMITTEE UPDATES</w:t>
      </w:r>
    </w:p>
    <w:p w14:paraId="389B02A0" w14:textId="09B96D0D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Waterways Commission</w:t>
      </w:r>
      <w:r w:rsidRPr="00B06508">
        <w:rPr>
          <w:sz w:val="22"/>
        </w:rPr>
        <w:t xml:space="preserve"> – </w:t>
      </w:r>
      <w:r w:rsidR="002E78B8">
        <w:rPr>
          <w:sz w:val="22"/>
        </w:rPr>
        <w:t>Mr. Richardson shared</w:t>
      </w:r>
      <w:r>
        <w:rPr>
          <w:sz w:val="22"/>
        </w:rPr>
        <w:t xml:space="preserve"> that the River Accord Subcommittee was progressing in its work</w:t>
      </w:r>
      <w:r w:rsidR="00E8229C">
        <w:rPr>
          <w:sz w:val="22"/>
        </w:rPr>
        <w:t xml:space="preserve"> and there was approval for several developments.</w:t>
      </w:r>
    </w:p>
    <w:p w14:paraId="2DC083ED" w14:textId="538C08D7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KJB Commission</w:t>
      </w:r>
      <w:r w:rsidRPr="00B06508">
        <w:rPr>
          <w:sz w:val="22"/>
        </w:rPr>
        <w:t xml:space="preserve"> – </w:t>
      </w:r>
      <w:r w:rsidR="00E8229C">
        <w:rPr>
          <w:sz w:val="22"/>
        </w:rPr>
        <w:t>Chief Long shared that the annual July 5</w:t>
      </w:r>
      <w:r w:rsidR="00E8229C" w:rsidRPr="00E8229C">
        <w:rPr>
          <w:sz w:val="22"/>
          <w:vertAlign w:val="superscript"/>
        </w:rPr>
        <w:t>th</w:t>
      </w:r>
      <w:r w:rsidR="00E8229C">
        <w:rPr>
          <w:sz w:val="22"/>
        </w:rPr>
        <w:t xml:space="preserve"> cleanup at the Beaches would be held in two locations from 7 am – 9 am</w:t>
      </w:r>
      <w:r>
        <w:rPr>
          <w:sz w:val="22"/>
        </w:rPr>
        <w:t>.</w:t>
      </w:r>
    </w:p>
    <w:p w14:paraId="4D91DFBB" w14:textId="77777777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JEPB Water Committee</w:t>
      </w:r>
      <w:r w:rsidRPr="00B06508">
        <w:rPr>
          <w:sz w:val="22"/>
        </w:rPr>
        <w:t xml:space="preserve"> –</w:t>
      </w:r>
      <w:r>
        <w:rPr>
          <w:sz w:val="22"/>
        </w:rPr>
        <w:t xml:space="preserve"> Mr. Carr discussed information from the Water Branch report and responded to member questions.  </w:t>
      </w:r>
    </w:p>
    <w:p w14:paraId="7040F175" w14:textId="77777777" w:rsidR="00B14080" w:rsidRPr="002E78B8" w:rsidRDefault="00B14080" w:rsidP="00B14080">
      <w:pPr>
        <w:numPr>
          <w:ilvl w:val="0"/>
          <w:numId w:val="3"/>
        </w:numPr>
        <w:ind w:left="720" w:hanging="360"/>
        <w:contextualSpacing/>
      </w:pPr>
      <w:r w:rsidRPr="006D2247">
        <w:rPr>
          <w:b/>
          <w:bCs/>
          <w:sz w:val="22"/>
        </w:rPr>
        <w:t>JEPB Air Committee</w:t>
      </w:r>
      <w:r w:rsidRPr="006D2247">
        <w:rPr>
          <w:sz w:val="22"/>
        </w:rPr>
        <w:t xml:space="preserve"> – </w:t>
      </w:r>
      <w:r>
        <w:rPr>
          <w:sz w:val="22"/>
        </w:rPr>
        <w:t>Mr. Williams discussed information from the Air Branch report and responded to member questions.</w:t>
      </w:r>
    </w:p>
    <w:p w14:paraId="010D503F" w14:textId="77777777" w:rsidR="002E78B8" w:rsidRDefault="002E78B8" w:rsidP="002E78B8">
      <w:pPr>
        <w:ind w:left="720"/>
        <w:contextualSpacing/>
        <w:rPr>
          <w:b/>
          <w:bCs/>
          <w:sz w:val="22"/>
        </w:rPr>
      </w:pPr>
    </w:p>
    <w:p w14:paraId="15436B77" w14:textId="77777777" w:rsidR="002E78B8" w:rsidRPr="006D2247" w:rsidRDefault="002E78B8" w:rsidP="002E78B8">
      <w:pPr>
        <w:ind w:left="720"/>
        <w:contextualSpacing/>
      </w:pPr>
    </w:p>
    <w:p w14:paraId="067BFE4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EPB ADMINISTRATOR REPORT </w:t>
      </w:r>
    </w:p>
    <w:p w14:paraId="5DD5DB0E" w14:textId="5258BE66" w:rsidR="00B14080" w:rsidRPr="00C94450" w:rsidRDefault="00B14080" w:rsidP="00B14080">
      <w:pPr>
        <w:rPr>
          <w:szCs w:val="24"/>
        </w:rPr>
      </w:pPr>
      <w:r>
        <w:rPr>
          <w:szCs w:val="24"/>
        </w:rPr>
        <w:t xml:space="preserve">Mr. Richardson shared </w:t>
      </w:r>
      <w:r w:rsidR="00836CBE">
        <w:rPr>
          <w:szCs w:val="24"/>
        </w:rPr>
        <w:t xml:space="preserve">JEPB committees would meet for June, </w:t>
      </w:r>
      <w:r>
        <w:rPr>
          <w:szCs w:val="24"/>
        </w:rPr>
        <w:t xml:space="preserve">that planning efforts for the 2024 annual symposium </w:t>
      </w:r>
      <w:r w:rsidR="00836CBE">
        <w:rPr>
          <w:szCs w:val="24"/>
        </w:rPr>
        <w:t>are progressing and that Chief Long was elected President of the Florida Stormwater Association during their recent conference.</w:t>
      </w:r>
    </w:p>
    <w:p w14:paraId="704180F3" w14:textId="77777777" w:rsidR="00B14080" w:rsidRDefault="00B14080" w:rsidP="00B14080">
      <w:pPr>
        <w:rPr>
          <w:sz w:val="22"/>
        </w:rPr>
      </w:pPr>
    </w:p>
    <w:p w14:paraId="1BFCD474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ENVIRONMENTAL QUALITY DIVISION REPORT</w:t>
      </w:r>
    </w:p>
    <w:p w14:paraId="4D6F2874" w14:textId="64FD15EF" w:rsidR="00B14080" w:rsidRPr="00C94450" w:rsidRDefault="00836CBE" w:rsidP="00B14080">
      <w:pPr>
        <w:rPr>
          <w:szCs w:val="24"/>
        </w:rPr>
      </w:pPr>
      <w:r>
        <w:rPr>
          <w:szCs w:val="24"/>
        </w:rPr>
        <w:t>Chief Long shared that they are looking into some new technology in bacteria monitoring and that the Division was still having issues with vacancies and retention.</w:t>
      </w:r>
    </w:p>
    <w:p w14:paraId="3C6FBA77" w14:textId="77777777" w:rsidR="00B14080" w:rsidRDefault="00B14080" w:rsidP="00B14080">
      <w:pPr>
        <w:rPr>
          <w:sz w:val="22"/>
        </w:rPr>
      </w:pPr>
    </w:p>
    <w:p w14:paraId="25513648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ITEMS REFERRED TO COMMITTEES</w:t>
      </w:r>
    </w:p>
    <w:p w14:paraId="379C33D6" w14:textId="77777777" w:rsidR="00B14080" w:rsidRPr="00B06508" w:rsidRDefault="00B14080" w:rsidP="00B14080">
      <w:pPr>
        <w:contextualSpacing/>
      </w:pPr>
      <w:r>
        <w:t>None</w:t>
      </w:r>
    </w:p>
    <w:p w14:paraId="7E7D5DBF" w14:textId="77777777" w:rsidR="00B14080" w:rsidRDefault="00B14080" w:rsidP="00B14080">
      <w:pPr>
        <w:rPr>
          <w:sz w:val="22"/>
        </w:rPr>
      </w:pPr>
    </w:p>
    <w:p w14:paraId="2A8273C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NEXT SCHEDULED BOARD MEETING(s) </w:t>
      </w:r>
    </w:p>
    <w:p w14:paraId="18836AAD" w14:textId="77777777" w:rsidR="00836CBE" w:rsidRPr="00BD22ED" w:rsidRDefault="00836CBE" w:rsidP="00836CB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>
        <w:rPr>
          <w:rFonts w:ascii="Century Gothic" w:hAnsi="Century Gothic" w:cs="Century Gothic"/>
          <w:sz w:val="22"/>
        </w:rPr>
        <w:t>July 8, 2024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04A0343C" w14:textId="77777777" w:rsidR="00836CBE" w:rsidRDefault="00836CBE" w:rsidP="00836CB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>Monday, July 15,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1009CEB" w14:textId="77777777" w:rsidR="00836CBE" w:rsidRDefault="00836CBE" w:rsidP="00836CB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5F90A2E9" w14:textId="77777777" w:rsidR="00836CBE" w:rsidRPr="00F53364" w:rsidRDefault="00836CBE" w:rsidP="00836CBE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Air Committee – Monday, June 24, 2024, at 4:30 pm</w:t>
      </w:r>
    </w:p>
    <w:p w14:paraId="4AC69FAF" w14:textId="77777777" w:rsidR="00836CBE" w:rsidRDefault="00836CBE" w:rsidP="00836CBE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Water Committee – Monday, June 24, 2024, at 5:30 pm</w:t>
      </w:r>
    </w:p>
    <w:p w14:paraId="1510C602" w14:textId="77777777" w:rsidR="00B14080" w:rsidRPr="00C94450" w:rsidRDefault="00B14080" w:rsidP="00B14080">
      <w:pPr>
        <w:rPr>
          <w:rFonts w:cs="Arial"/>
          <w:szCs w:val="24"/>
        </w:rPr>
      </w:pPr>
    </w:p>
    <w:p w14:paraId="3F890056" w14:textId="11E068D5" w:rsidR="00B14080" w:rsidRPr="00C94450" w:rsidRDefault="00B14080" w:rsidP="00B14080">
      <w:pPr>
        <w:rPr>
          <w:rFonts w:cs="Arial"/>
          <w:szCs w:val="24"/>
        </w:rPr>
      </w:pPr>
      <w:r w:rsidRPr="00C94450">
        <w:rPr>
          <w:rFonts w:cs="Arial"/>
          <w:szCs w:val="24"/>
        </w:rPr>
        <w:t xml:space="preserve">The meeting was adjourned at </w:t>
      </w:r>
      <w:r w:rsidR="00836CBE">
        <w:rPr>
          <w:rFonts w:cs="Arial"/>
          <w:szCs w:val="24"/>
        </w:rPr>
        <w:t xml:space="preserve">5:58 </w:t>
      </w:r>
      <w:r w:rsidRPr="00C94450">
        <w:rPr>
          <w:rFonts w:cs="Arial"/>
          <w:szCs w:val="24"/>
        </w:rPr>
        <w:t xml:space="preserve">pm.  </w:t>
      </w:r>
    </w:p>
    <w:p w14:paraId="05DEB345" w14:textId="77777777" w:rsidR="00B14080" w:rsidRPr="00CF5FAD" w:rsidRDefault="00B14080" w:rsidP="00B14080"/>
    <w:p w14:paraId="4B90113E" w14:textId="77777777" w:rsidR="00B14080" w:rsidRPr="00E257B3" w:rsidRDefault="00B14080" w:rsidP="00B14080">
      <w:pPr>
        <w:jc w:val="center"/>
      </w:pPr>
    </w:p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A4F5" w14:textId="77777777" w:rsidR="00B14080" w:rsidRDefault="00B14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A67C" w14:textId="77777777" w:rsidR="00B14080" w:rsidRDefault="00B14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43BA" w14:textId="77777777" w:rsidR="00B14080" w:rsidRDefault="00B140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3F91" w14:textId="77777777" w:rsidR="00BB5C12" w:rsidRDefault="00BB5C1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6AD1" w14:textId="77777777" w:rsidR="00BB5C12" w:rsidRDefault="00BB5C1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53AF" w14:textId="77777777" w:rsidR="00B14080" w:rsidRDefault="00B14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EA94" w14:textId="77777777" w:rsidR="00B14080" w:rsidRDefault="00B14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38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790"/>
      <w:gridCol w:w="5760"/>
      <w:gridCol w:w="2988"/>
    </w:tblGrid>
    <w:tr w:rsidR="00B14080" w14:paraId="6A0EED15" w14:textId="77777777" w:rsidTr="00B14080">
      <w:trPr>
        <w:tblHeader/>
      </w:trPr>
      <w:tc>
        <w:tcPr>
          <w:tcW w:w="2790" w:type="dxa"/>
        </w:tcPr>
        <w:p w14:paraId="65BFFBCC" w14:textId="77777777" w:rsidR="00B14080" w:rsidRDefault="00B14080" w:rsidP="00CE141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inline distT="0" distB="0" distL="0" distR="0" wp14:anchorId="213C4D74" wp14:editId="4AD87DF1">
                <wp:extent cx="1409700" cy="173008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07" cy="174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14:paraId="112BB6C0" w14:textId="77777777" w:rsidR="00B14080" w:rsidRDefault="00B14080" w:rsidP="00CE141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550E9DF8" w14:textId="77C69045" w:rsidR="00B14080" w:rsidRPr="00D03439" w:rsidRDefault="00B14080" w:rsidP="007B7777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>Jacksonville Environmental Protection Board Members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Thomas Deck - Chairman </w:t>
          </w:r>
          <w:r>
            <w:rPr>
              <w:color w:val="1F497D" w:themeColor="text2"/>
              <w:sz w:val="16"/>
              <w:szCs w:val="16"/>
            </w:rPr>
            <w:br/>
            <w:t xml:space="preserve">Adam Hoyles – Vice Chairman                                                                     Josh Gellers, Ph.D., Desiree C. Jones, LMHC, Sunil Joshi, M.D.,               Clint Noble, P.G., Guillermo Simon, P.E., Margarete Vest, P.E., David Wood </w:t>
          </w:r>
        </w:p>
      </w:tc>
      <w:tc>
        <w:tcPr>
          <w:tcW w:w="2988" w:type="dxa"/>
        </w:tcPr>
        <w:p w14:paraId="6E741E98" w14:textId="77777777" w:rsidR="00B14080" w:rsidRDefault="00B14080" w:rsidP="007B7777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2CCF121B" w14:textId="56D2C248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Clint Noble, P.G.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>Josh Gellers, Ph.D.</w:t>
          </w:r>
        </w:p>
        <w:p w14:paraId="1EF65593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Jones, LMHC</w:t>
          </w:r>
        </w:p>
        <w:p w14:paraId="6B3DB1FB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38E1D242" w14:textId="34E139B5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  <w:p w14:paraId="4A4C135B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</w:p>
        <w:p w14:paraId="638F5AAE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Adam Hoyles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>Josh Gellers, Ph.D.</w:t>
          </w:r>
        </w:p>
        <w:p w14:paraId="0D96B023" w14:textId="77777777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Jones, LMHC</w:t>
          </w:r>
        </w:p>
        <w:p w14:paraId="38A124E0" w14:textId="77777777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Simon, P.E</w:t>
          </w:r>
        </w:p>
        <w:p w14:paraId="68EFE9E8" w14:textId="644B4688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 xml:space="preserve">Margarete Vest, </w:t>
          </w:r>
          <w:proofErr w:type="gramStart"/>
          <w:r>
            <w:rPr>
              <w:color w:val="1F497D" w:themeColor="text2"/>
              <w:sz w:val="16"/>
              <w:szCs w:val="16"/>
            </w:rPr>
            <w:t>P.E..</w:t>
          </w:r>
          <w:proofErr w:type="gramEnd"/>
        </w:p>
        <w:p w14:paraId="56ED5627" w14:textId="77777777" w:rsidR="00B14080" w:rsidRPr="00EC3733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</w:p>
      </w:tc>
    </w:tr>
  </w:tbl>
  <w:p w14:paraId="59AA3371" w14:textId="77777777" w:rsidR="00B14080" w:rsidRDefault="00B140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E5CC" w14:textId="77777777" w:rsidR="00BB5C12" w:rsidRDefault="00BB5C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BFBB" w14:textId="77777777" w:rsidR="00BB5C12" w:rsidRDefault="00BB5C1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72F"/>
    <w:multiLevelType w:val="hybridMultilevel"/>
    <w:tmpl w:val="E65C0C32"/>
    <w:lvl w:ilvl="0" w:tplc="BB1A5C3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51B8F"/>
    <w:multiLevelType w:val="hybridMultilevel"/>
    <w:tmpl w:val="0ED0C6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14AF"/>
    <w:multiLevelType w:val="hybridMultilevel"/>
    <w:tmpl w:val="09C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77B29"/>
    <w:multiLevelType w:val="hybridMultilevel"/>
    <w:tmpl w:val="FB2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1"/>
  </w:num>
  <w:num w:numId="2" w16cid:durableId="2133209597">
    <w:abstractNumId w:val="2"/>
  </w:num>
  <w:num w:numId="3" w16cid:durableId="1378699471">
    <w:abstractNumId w:val="0"/>
  </w:num>
  <w:num w:numId="4" w16cid:durableId="1916670056">
    <w:abstractNumId w:val="4"/>
  </w:num>
  <w:num w:numId="5" w16cid:durableId="1546869509">
    <w:abstractNumId w:val="3"/>
  </w:num>
  <w:num w:numId="6" w16cid:durableId="1683168007">
    <w:abstractNumId w:val="8"/>
  </w:num>
  <w:num w:numId="7" w16cid:durableId="847209541">
    <w:abstractNumId w:val="6"/>
  </w:num>
  <w:num w:numId="8" w16cid:durableId="1920095977">
    <w:abstractNumId w:val="7"/>
  </w:num>
  <w:num w:numId="9" w16cid:durableId="91291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12A61"/>
    <w:rsid w:val="00074E00"/>
    <w:rsid w:val="000B378F"/>
    <w:rsid w:val="000C6F3A"/>
    <w:rsid w:val="000E7FB5"/>
    <w:rsid w:val="000F681E"/>
    <w:rsid w:val="00104363"/>
    <w:rsid w:val="00182EE2"/>
    <w:rsid w:val="001E7050"/>
    <w:rsid w:val="00211C95"/>
    <w:rsid w:val="002B2EF8"/>
    <w:rsid w:val="002E2051"/>
    <w:rsid w:val="002E78B8"/>
    <w:rsid w:val="00323D40"/>
    <w:rsid w:val="003355F7"/>
    <w:rsid w:val="00394A11"/>
    <w:rsid w:val="003B4AFE"/>
    <w:rsid w:val="0043327A"/>
    <w:rsid w:val="00453F81"/>
    <w:rsid w:val="00487293"/>
    <w:rsid w:val="004946C2"/>
    <w:rsid w:val="0050164B"/>
    <w:rsid w:val="0050363F"/>
    <w:rsid w:val="00517AC6"/>
    <w:rsid w:val="00584588"/>
    <w:rsid w:val="005960BE"/>
    <w:rsid w:val="0060094D"/>
    <w:rsid w:val="006161A2"/>
    <w:rsid w:val="00660084"/>
    <w:rsid w:val="006826BB"/>
    <w:rsid w:val="00683D3D"/>
    <w:rsid w:val="006F3EF1"/>
    <w:rsid w:val="00762556"/>
    <w:rsid w:val="007D1C67"/>
    <w:rsid w:val="008017C6"/>
    <w:rsid w:val="00836CBE"/>
    <w:rsid w:val="008A4B6B"/>
    <w:rsid w:val="008B03E0"/>
    <w:rsid w:val="008E60E9"/>
    <w:rsid w:val="009558A6"/>
    <w:rsid w:val="00970DA0"/>
    <w:rsid w:val="009E3054"/>
    <w:rsid w:val="00A231A8"/>
    <w:rsid w:val="00A439F0"/>
    <w:rsid w:val="00A77E44"/>
    <w:rsid w:val="00A94C57"/>
    <w:rsid w:val="00AA7533"/>
    <w:rsid w:val="00AC3542"/>
    <w:rsid w:val="00AD5582"/>
    <w:rsid w:val="00B10013"/>
    <w:rsid w:val="00B14080"/>
    <w:rsid w:val="00B25551"/>
    <w:rsid w:val="00B327CF"/>
    <w:rsid w:val="00B479B2"/>
    <w:rsid w:val="00B549B2"/>
    <w:rsid w:val="00BB5C12"/>
    <w:rsid w:val="00C038F6"/>
    <w:rsid w:val="00C31DC7"/>
    <w:rsid w:val="00CA2D70"/>
    <w:rsid w:val="00CF1E4D"/>
    <w:rsid w:val="00CF5FAD"/>
    <w:rsid w:val="00D03439"/>
    <w:rsid w:val="00D26FB5"/>
    <w:rsid w:val="00D709DF"/>
    <w:rsid w:val="00DA6D5B"/>
    <w:rsid w:val="00E00894"/>
    <w:rsid w:val="00E257B3"/>
    <w:rsid w:val="00E26100"/>
    <w:rsid w:val="00E6361D"/>
    <w:rsid w:val="00E8229C"/>
    <w:rsid w:val="00EE2BB6"/>
    <w:rsid w:val="00E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8BF08DBE164C5E91C1A2F4EF6A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67E4-26D0-4600-826F-B059D038F597}"/>
      </w:docPartPr>
      <w:docPartBody>
        <w:p w:rsidR="00E15CEC" w:rsidRDefault="00E15CEC" w:rsidP="00E15CEC">
          <w:pPr>
            <w:pStyle w:val="538BF08DBE164C5E91C1A2F4EF6ABAA0"/>
          </w:pPr>
          <w:r w:rsidRPr="00276D52">
            <w:rPr>
              <w:rStyle w:val="PlaceholderText"/>
              <w:rFonts w:ascii="Arial" w:hAnsi="Arial" w:cs="Arial"/>
              <w:sz w:val="22"/>
            </w:rPr>
            <w:t>Company 2</w:t>
          </w:r>
        </w:p>
      </w:docPartBody>
    </w:docPart>
    <w:docPart>
      <w:docPartPr>
        <w:name w:val="84338F0C702C498FAB3A5B36482A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B4BC-A2FD-41AD-B5A2-140F64201604}"/>
      </w:docPartPr>
      <w:docPartBody>
        <w:p w:rsidR="00E15CEC" w:rsidRDefault="00E15CEC" w:rsidP="00E15CEC">
          <w:pPr>
            <w:pStyle w:val="84338F0C702C498FAB3A5B36482AFF69"/>
          </w:pPr>
          <w:r w:rsidRPr="00276D52">
            <w:rPr>
              <w:rStyle w:val="PlaceholderText"/>
              <w:rFonts w:ascii="Arial" w:hAnsi="Arial" w:cs="Arial"/>
              <w:sz w:val="22"/>
            </w:rPr>
            <w:t>Company 2</w:t>
          </w:r>
        </w:p>
      </w:docPartBody>
    </w:docPart>
    <w:docPart>
      <w:docPartPr>
        <w:name w:val="B0923ADEEC9D4A65945242F3AF14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CC3A6-D617-4FB4-9C7D-2FC736706939}"/>
      </w:docPartPr>
      <w:docPartBody>
        <w:p w:rsidR="00E15CEC" w:rsidRDefault="00E15CEC" w:rsidP="00E15CEC">
          <w:pPr>
            <w:pStyle w:val="B0923ADEEC9D4A65945242F3AF14BABD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list rules.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5E"/>
    <w:rsid w:val="006161A2"/>
    <w:rsid w:val="009558A6"/>
    <w:rsid w:val="00B549B2"/>
    <w:rsid w:val="00DB6C5E"/>
    <w:rsid w:val="00E00894"/>
    <w:rsid w:val="00E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CEC"/>
    <w:rPr>
      <w:color w:val="808080"/>
    </w:rPr>
  </w:style>
  <w:style w:type="paragraph" w:customStyle="1" w:styleId="20718620AEC74B5DA97D65BB5DA7B075">
    <w:name w:val="20718620AEC74B5DA97D65BB5DA7B075"/>
    <w:rsid w:val="00DB6C5E"/>
  </w:style>
  <w:style w:type="paragraph" w:customStyle="1" w:styleId="A54D8EC3703349D9ACE6371731C2DE1F">
    <w:name w:val="A54D8EC3703349D9ACE6371731C2DE1F"/>
    <w:rsid w:val="00DB6C5E"/>
  </w:style>
  <w:style w:type="paragraph" w:customStyle="1" w:styleId="AD57E55E7D5A49BBA122C57DBC7A873B">
    <w:name w:val="AD57E55E7D5A49BBA122C57DBC7A873B"/>
    <w:rsid w:val="00DB6C5E"/>
  </w:style>
  <w:style w:type="paragraph" w:customStyle="1" w:styleId="538BF08DBE164C5E91C1A2F4EF6ABAA0">
    <w:name w:val="538BF08DBE164C5E91C1A2F4EF6ABAA0"/>
    <w:rsid w:val="00E15CEC"/>
  </w:style>
  <w:style w:type="paragraph" w:customStyle="1" w:styleId="84338F0C702C498FAB3A5B36482AFF69">
    <w:name w:val="84338F0C702C498FAB3A5B36482AFF69"/>
    <w:rsid w:val="00E15CEC"/>
  </w:style>
  <w:style w:type="paragraph" w:customStyle="1" w:styleId="B0923ADEEC9D4A65945242F3AF14BABD">
    <w:name w:val="B0923ADEEC9D4A65945242F3AF14BABD"/>
    <w:rsid w:val="00E15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3</cp:revision>
  <cp:lastPrinted>2022-07-29T15:38:00Z</cp:lastPrinted>
  <dcterms:created xsi:type="dcterms:W3CDTF">2024-07-09T17:07:00Z</dcterms:created>
  <dcterms:modified xsi:type="dcterms:W3CDTF">2024-07-09T17:38:00Z</dcterms:modified>
</cp:coreProperties>
</file>