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F35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6CD771C6" w14:textId="442FC3FE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F1466D">
        <w:rPr>
          <w:rFonts w:ascii="Century Gothic" w:hAnsi="Century Gothic" w:cs="Century Gothic"/>
          <w:b/>
          <w:color w:val="00B050"/>
          <w:sz w:val="28"/>
          <w:szCs w:val="28"/>
        </w:rPr>
        <w:t>June 17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2034ADF8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002D272" w14:textId="77777777" w:rsidR="002E6DD9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2750209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47FF8ED5" w14:textId="77777777" w:rsidR="002E6DD9" w:rsidRPr="005A0EAC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321767E2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BOARD MEETING AGENDA</w:t>
      </w:r>
      <w:r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 </w:t>
      </w:r>
    </w:p>
    <w:p w14:paraId="46F90F29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5BC76B5D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0C6EB5F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0E477CC8" w14:textId="77777777" w:rsidR="002E6DD9" w:rsidRDefault="002E6DD9" w:rsidP="002E6DD9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678AB309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F034AD1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4C5A1901" w14:textId="77777777" w:rsidR="002E6DD9" w:rsidRPr="007C5EFB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377E167A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B311B5C" w14:textId="012011C9" w:rsidR="002E6DD9" w:rsidRDefault="00F1466D" w:rsidP="002E6D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May 20</w:t>
      </w:r>
      <w:r w:rsidR="002E6DD9">
        <w:rPr>
          <w:rFonts w:ascii="Century Gothic" w:hAnsi="Century Gothic"/>
          <w:bCs/>
          <w:sz w:val="22"/>
        </w:rPr>
        <w:t>, 2024</w:t>
      </w:r>
      <w:r w:rsidR="002E6DD9" w:rsidRPr="008D3936">
        <w:rPr>
          <w:rFonts w:ascii="Century Gothic" w:hAnsi="Century Gothic"/>
          <w:bCs/>
          <w:sz w:val="22"/>
        </w:rPr>
        <w:t>, Monthly Meeting</w:t>
      </w:r>
      <w:r w:rsidR="002E6DD9">
        <w:rPr>
          <w:rFonts w:ascii="Century Gothic" w:hAnsi="Century Gothic"/>
          <w:bCs/>
          <w:sz w:val="22"/>
        </w:rPr>
        <w:t xml:space="preserve"> Summary</w:t>
      </w:r>
    </w:p>
    <w:p w14:paraId="25F39ED8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E21993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9FF972A" w14:textId="77777777" w:rsidR="002E6DD9" w:rsidRDefault="002E6DD9" w:rsidP="002E6DD9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D570B57" w14:textId="77777777" w:rsidR="002E6DD9" w:rsidRPr="003E2671" w:rsidRDefault="002E6DD9" w:rsidP="002E6DD9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2F5ABD5B" w14:textId="77777777" w:rsidR="002E6DD9" w:rsidRPr="003E2671" w:rsidRDefault="002E6DD9" w:rsidP="002E6DD9">
      <w:pPr>
        <w:ind w:left="90" w:firstLine="720"/>
        <w:rPr>
          <w:b/>
          <w:sz w:val="22"/>
        </w:rPr>
      </w:pPr>
    </w:p>
    <w:p w14:paraId="475C023C" w14:textId="41DE8EF4" w:rsidR="002E6DD9" w:rsidRPr="00841351" w:rsidRDefault="00841351" w:rsidP="00841351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2FCE953C" w14:textId="77777777" w:rsidR="002E6DD9" w:rsidRDefault="002E6DD9" w:rsidP="002E6DD9">
      <w:pPr>
        <w:rPr>
          <w:sz w:val="20"/>
          <w:szCs w:val="20"/>
        </w:rPr>
      </w:pPr>
    </w:p>
    <w:p w14:paraId="233FE5AE" w14:textId="77777777" w:rsidR="002E6DD9" w:rsidRDefault="002E6DD9" w:rsidP="002E6DD9">
      <w:pPr>
        <w:rPr>
          <w:sz w:val="20"/>
          <w:szCs w:val="20"/>
        </w:rPr>
      </w:pPr>
    </w:p>
    <w:p w14:paraId="509A2B7C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t>Water</w:t>
      </w:r>
    </w:p>
    <w:p w14:paraId="4583087E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</w:p>
    <w:p w14:paraId="57BFC26F" w14:textId="77777777" w:rsidR="00841351" w:rsidRPr="009D6A0C" w:rsidRDefault="00841351" w:rsidP="00841351">
      <w:pPr>
        <w:pStyle w:val="ListParagraph"/>
        <w:numPr>
          <w:ilvl w:val="0"/>
          <w:numId w:val="10"/>
        </w:numPr>
        <w:ind w:left="1440"/>
        <w:rPr>
          <w:rFonts w:eastAsia="Calibri" w:cs="Arial"/>
          <w:kern w:val="2"/>
          <w:sz w:val="22"/>
          <w14:ligatures w14:val="standardContextual"/>
        </w:rPr>
      </w:pPr>
      <w:bookmarkStart w:id="3" w:name="_Hlk168466882"/>
      <w:bookmarkStart w:id="4" w:name="_Hlk161127426"/>
      <w:bookmarkEnd w:id="1"/>
      <w:bookmarkEnd w:id="2"/>
      <w:r w:rsidRPr="009D6A0C">
        <w:rPr>
          <w:rFonts w:eastAsia="Arial" w:cs="Arial"/>
          <w:b/>
          <w:bCs/>
          <w:color w:val="000000"/>
          <w:kern w:val="2"/>
          <w:sz w:val="22"/>
          <w14:ligatures w14:val="standardContextual"/>
        </w:rPr>
        <w:t xml:space="preserve">Richmond American Homes of Florida, and LP and </w:t>
      </w:r>
      <w:sdt>
        <w:sdtPr>
          <w:rPr>
            <w:rFonts w:eastAsia="Calibri" w:cs="Arial"/>
            <w:b/>
            <w:bCs/>
            <w:kern w:val="2"/>
            <w:sz w:val="22"/>
            <w:szCs w:val="24"/>
            <w14:ligatures w14:val="standardContextual"/>
          </w:rPr>
          <w:id w:val="-119990873"/>
          <w:placeholder>
            <w:docPart w:val="D62AC6E51C91435AA044F04953AAD354"/>
          </w:placeholder>
          <w:text/>
        </w:sdtPr>
        <w:sdtEndPr/>
        <w:sdtContent>
          <w:r w:rsidRPr="009D6A0C">
            <w:rPr>
              <w:rFonts w:eastAsia="Calibri" w:cs="Arial"/>
              <w:b/>
              <w:bCs/>
              <w:kern w:val="2"/>
              <w:sz w:val="22"/>
              <w:szCs w:val="24"/>
              <w14:ligatures w14:val="standardContextual"/>
            </w:rPr>
            <w:t>Pipeline Constructors, Inc</w:t>
          </w:r>
        </w:sdtContent>
      </w:sdt>
      <w:bookmarkEnd w:id="3"/>
      <w:r w:rsidRPr="009D6A0C">
        <w:rPr>
          <w:rFonts w:eastAsia="Arial" w:cs="Arial"/>
          <w:b/>
          <w:bCs/>
          <w:color w:val="000000"/>
          <w:kern w:val="2"/>
          <w:sz w:val="22"/>
          <w14:ligatures w14:val="standardContextual"/>
        </w:rPr>
        <w:t xml:space="preserve"> </w:t>
      </w:r>
      <w:r w:rsidRPr="009D6A0C">
        <w:rPr>
          <w:rFonts w:eastAsia="Calibri" w:cs="Arial"/>
          <w:i/>
          <w:iCs/>
          <w:kern w:val="2"/>
          <w:sz w:val="22"/>
          <w14:ligatures w14:val="standardContextual"/>
        </w:rPr>
        <w:t xml:space="preserve">[ESC-24-12] at </w:t>
      </w:r>
      <w:r w:rsidRPr="009D6A0C">
        <w:rPr>
          <w:rFonts w:eastAsia="Calibri" w:cs="Arial"/>
          <w:kern w:val="2"/>
          <w:sz w:val="22"/>
          <w14:ligatures w14:val="standardContextual"/>
        </w:rPr>
        <w:t>6065 Crossroads Station Drive</w:t>
      </w:r>
      <w:r w:rsidRPr="009D6A0C">
        <w:rPr>
          <w:rFonts w:eastAsia="Calibri" w:cs="Arial"/>
          <w:i/>
          <w:iCs/>
          <w:kern w:val="2"/>
          <w:sz w:val="22"/>
          <w14:ligatures w14:val="standardContextual"/>
        </w:rPr>
        <w:t xml:space="preserve"> (Exhibit A)] </w:t>
      </w:r>
      <w:r w:rsidRPr="009D6A0C">
        <w:rPr>
          <w:rFonts w:eastAsia="Calibri" w:cs="Arial"/>
          <w:kern w:val="2"/>
          <w:sz w:val="22"/>
          <w14:ligatures w14:val="standardContextual"/>
        </w:rPr>
        <w:t>Discharge of non-stormwater to City municipal separate storm sewer system (“MS4”); Failure to comply with erosion and sediment control requirements.</w:t>
      </w:r>
    </w:p>
    <w:p w14:paraId="72930093" w14:textId="77777777" w:rsidR="00841351" w:rsidRDefault="00841351" w:rsidP="00841351">
      <w:pPr>
        <w:rPr>
          <w:sz w:val="20"/>
          <w:szCs w:val="20"/>
        </w:rPr>
      </w:pPr>
    </w:p>
    <w:bookmarkEnd w:id="4"/>
    <w:p w14:paraId="0C8A08F5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Corrective Actions:</w:t>
      </w:r>
    </w:p>
    <w:p w14:paraId="268654BB" w14:textId="77777777" w:rsidR="00841351" w:rsidRPr="009D6A0C" w:rsidRDefault="00841351" w:rsidP="00841351">
      <w:pPr>
        <w:ind w:left="1440" w:firstLine="720"/>
        <w:rPr>
          <w:rFonts w:eastAsia="Times New Roman"/>
          <w:bCs/>
          <w:snapToGrid w:val="0"/>
          <w:sz w:val="18"/>
          <w:szCs w:val="18"/>
        </w:rPr>
      </w:pPr>
      <w:r w:rsidRPr="009D6A0C">
        <w:rPr>
          <w:rFonts w:eastAsia="Times New Roman"/>
          <w:bCs/>
          <w:snapToGrid w:val="0"/>
          <w:sz w:val="18"/>
          <w:szCs w:val="18"/>
        </w:rPr>
        <w:t>Silt fence repaired, and sod installed with more perimeter controls</w:t>
      </w:r>
    </w:p>
    <w:p w14:paraId="0A6D467B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</w:p>
    <w:p w14:paraId="1D35872C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 xml:space="preserve">Consent Order settlement fee: </w:t>
      </w:r>
    </w:p>
    <w:p w14:paraId="298F5616" w14:textId="77777777" w:rsidR="00841351" w:rsidRPr="00462CCE" w:rsidRDefault="00841351" w:rsidP="00841351">
      <w:pPr>
        <w:ind w:left="2160"/>
        <w:rPr>
          <w:b/>
          <w:sz w:val="18"/>
          <w:szCs w:val="18"/>
        </w:rPr>
      </w:pPr>
      <w:r w:rsidRPr="00462CCE">
        <w:rPr>
          <w:b/>
          <w:sz w:val="18"/>
          <w:szCs w:val="18"/>
        </w:rPr>
        <w:t>$2</w:t>
      </w:r>
      <w:r>
        <w:rPr>
          <w:b/>
          <w:sz w:val="18"/>
          <w:szCs w:val="18"/>
        </w:rPr>
        <w:t>,3</w:t>
      </w:r>
      <w:r w:rsidRPr="00462CCE">
        <w:rPr>
          <w:b/>
          <w:sz w:val="18"/>
          <w:szCs w:val="18"/>
        </w:rPr>
        <w:t>00</w:t>
      </w:r>
    </w:p>
    <w:p w14:paraId="7AE65F2F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</w:p>
    <w:p w14:paraId="72DE7C11" w14:textId="77777777" w:rsidR="00841351" w:rsidRPr="00462CCE" w:rsidRDefault="00841351" w:rsidP="00841351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Consent Order requirements:</w:t>
      </w:r>
    </w:p>
    <w:p w14:paraId="5C4A8AE4" w14:textId="77777777" w:rsidR="00841351" w:rsidRPr="00462CCE" w:rsidRDefault="00841351" w:rsidP="00841351">
      <w:pPr>
        <w:ind w:left="2160"/>
        <w:rPr>
          <w:bCs/>
          <w:sz w:val="18"/>
          <w:szCs w:val="18"/>
        </w:rPr>
      </w:pPr>
      <w:r w:rsidRPr="00462CCE">
        <w:rPr>
          <w:bCs/>
          <w:sz w:val="18"/>
          <w:szCs w:val="18"/>
        </w:rPr>
        <w:t>Penalty payment only.</w:t>
      </w:r>
    </w:p>
    <w:p w14:paraId="101A9F52" w14:textId="77777777" w:rsidR="002E6DD9" w:rsidRDefault="002E6DD9" w:rsidP="002E6DD9">
      <w:pPr>
        <w:ind w:left="2160"/>
        <w:rPr>
          <w:sz w:val="18"/>
          <w:szCs w:val="18"/>
        </w:rPr>
      </w:pPr>
    </w:p>
    <w:p w14:paraId="685EBBC4" w14:textId="77777777" w:rsidR="002E6DD9" w:rsidRPr="00BA5A28" w:rsidRDefault="002E6DD9" w:rsidP="002E6DD9">
      <w:pPr>
        <w:ind w:left="2160"/>
        <w:rPr>
          <w:sz w:val="18"/>
          <w:szCs w:val="18"/>
        </w:rPr>
      </w:pPr>
    </w:p>
    <w:bookmarkStart w:id="5" w:name="_Hlk161127475"/>
    <w:p w14:paraId="3574605D" w14:textId="0C4623E6" w:rsidR="00841351" w:rsidRPr="00841351" w:rsidRDefault="00ED6EC6" w:rsidP="00CC7CCA">
      <w:pPr>
        <w:pStyle w:val="ListParagraph"/>
        <w:numPr>
          <w:ilvl w:val="0"/>
          <w:numId w:val="10"/>
        </w:numPr>
        <w:spacing w:line="223" w:lineRule="auto"/>
        <w:rPr>
          <w:rFonts w:eastAsia="Calibri" w:cs="Arial"/>
          <w:kern w:val="2"/>
          <w:sz w:val="22"/>
          <w14:ligatures w14:val="standardContextual"/>
        </w:rPr>
      </w:pPr>
      <w:sdt>
        <w:sdtPr>
          <w:rPr>
            <w:rFonts w:eastAsia="Times New Roman" w:cs="Arial"/>
            <w:b/>
            <w:bCs/>
            <w:sz w:val="22"/>
          </w:rPr>
          <w:id w:val="219718878"/>
          <w:placeholder>
            <w:docPart w:val="D739559E10324536AA978E8B86BFC77B"/>
          </w:placeholder>
          <w:text/>
        </w:sdtPr>
        <w:sdtEndPr/>
        <w:sdtContent>
          <w:r w:rsidR="00841351" w:rsidRPr="00841351">
            <w:rPr>
              <w:rFonts w:eastAsia="Times New Roman" w:cs="Arial"/>
              <w:b/>
              <w:bCs/>
              <w:sz w:val="22"/>
            </w:rPr>
            <w:t>Midtown Oaks Apts LP, and Midtown Oaks Apts II LLC,</w:t>
          </w:r>
        </w:sdtContent>
      </w:sdt>
      <w:r w:rsidR="00841351" w:rsidRPr="00841351">
        <w:rPr>
          <w:rFonts w:eastAsia="Calibri" w:cs="Arial"/>
          <w:kern w:val="2"/>
          <w:sz w:val="22"/>
          <w14:ligatures w14:val="standardContextual"/>
        </w:rPr>
        <w:t xml:space="preserve"> - Respondent</w:t>
      </w:r>
    </w:p>
    <w:p w14:paraId="4CA1AC52" w14:textId="77777777" w:rsidR="00841351" w:rsidRPr="00841351" w:rsidRDefault="00841351" w:rsidP="00841351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715CAC23" w14:textId="77777777" w:rsidR="00841351" w:rsidRPr="00841351" w:rsidRDefault="00841351" w:rsidP="00841351">
      <w:pPr>
        <w:widowControl w:val="0"/>
        <w:ind w:left="2160"/>
        <w:jc w:val="both"/>
        <w:rPr>
          <w:rFonts w:eastAsia="Times New Roman" w:cs="Arial"/>
          <w:b/>
          <w:bCs/>
          <w:snapToGrid w:val="0"/>
          <w:sz w:val="18"/>
          <w:szCs w:val="18"/>
        </w:rPr>
      </w:pPr>
      <w:r w:rsidRPr="00841351">
        <w:rPr>
          <w:rFonts w:eastAsia="Times New Roman" w:cs="Arial"/>
          <w:snapToGrid w:val="0"/>
          <w:sz w:val="18"/>
          <w:szCs w:val="18"/>
          <w:u w:val="single"/>
        </w:rPr>
        <w:t>Alleged violation(s)</w:t>
      </w:r>
      <w:r w:rsidRPr="00841351">
        <w:rPr>
          <w:rFonts w:eastAsia="Times New Roman" w:cs="Arial"/>
          <w:b/>
          <w:bCs/>
          <w:snapToGrid w:val="0"/>
          <w:sz w:val="18"/>
          <w:szCs w:val="18"/>
        </w:rPr>
        <w:t>:</w:t>
      </w:r>
    </w:p>
    <w:p w14:paraId="0B44BF91" w14:textId="77777777" w:rsidR="00841351" w:rsidRDefault="00841351" w:rsidP="00841351">
      <w:pPr>
        <w:widowControl w:val="0"/>
        <w:ind w:left="2160"/>
        <w:jc w:val="both"/>
        <w:rPr>
          <w:rFonts w:eastAsia="Arial" w:cs="Arial"/>
          <w:sz w:val="18"/>
          <w:szCs w:val="18"/>
        </w:rPr>
      </w:pPr>
      <w:r w:rsidRPr="00841351">
        <w:rPr>
          <w:rFonts w:eastAsia="Arial" w:cs="Arial"/>
          <w:sz w:val="18"/>
          <w:szCs w:val="18"/>
        </w:rPr>
        <w:t>Discharge of untreated wastewater to the ground, surrounding environment and surface water; Failure to maintain wastewater collection/transmission system to function as intended; Bypass of system or treatment facility; Failure to comply with sewerage design standards; Failure to have recorded OMR Agreement</w:t>
      </w:r>
    </w:p>
    <w:p w14:paraId="58CE2936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sz w:val="18"/>
          <w:szCs w:val="18"/>
        </w:rPr>
      </w:pPr>
    </w:p>
    <w:p w14:paraId="2E385711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Rules allegedly violated:</w:t>
      </w:r>
    </w:p>
    <w:p w14:paraId="4270F2DB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sz w:val="18"/>
          <w:szCs w:val="18"/>
        </w:rPr>
        <w:t xml:space="preserve">JEPB Rules </w:t>
      </w:r>
      <w:sdt>
        <w:sdtPr>
          <w:rPr>
            <w:rFonts w:eastAsia="Arial" w:cs="Arial"/>
            <w:sz w:val="18"/>
            <w:szCs w:val="18"/>
          </w:rPr>
          <w:id w:val="-1550065208"/>
          <w:placeholder>
            <w:docPart w:val="543D8CB82FAA461CB8CDC9C77279B15B"/>
          </w:placeholder>
        </w:sdtPr>
        <w:sdtEndPr/>
        <w:sdtContent>
          <w:r w:rsidRPr="00841351">
            <w:rPr>
              <w:rFonts w:eastAsia="Arial" w:cs="Arial"/>
              <w:sz w:val="18"/>
              <w:szCs w:val="18"/>
            </w:rPr>
            <w:t xml:space="preserve">3.103B, 3.103.H., 3.103.I, 3.103.GG, 3.103.G, 3.105.E, 3.104.B, 3.405.A.4 </w:t>
          </w:r>
        </w:sdtContent>
      </w:sdt>
    </w:p>
    <w:p w14:paraId="02218092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5A4E1FAE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p w14:paraId="02222A5D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JEA replace valve on shared force main</w:t>
      </w:r>
    </w:p>
    <w:p w14:paraId="73BFD539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2163E8B1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10E297F5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N/A</w:t>
      </w:r>
    </w:p>
    <w:p w14:paraId="5FEC5AAF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095FCCC3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3B3EF882" w14:textId="77777777" w:rsidR="00841351" w:rsidRPr="00841351" w:rsidRDefault="00841351" w:rsidP="00841351">
      <w:pPr>
        <w:pStyle w:val="ListParagraph"/>
        <w:widowControl w:val="0"/>
        <w:numPr>
          <w:ilvl w:val="3"/>
          <w:numId w:val="10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Education Campaign – within 30 days</w:t>
      </w:r>
    </w:p>
    <w:p w14:paraId="79D05862" w14:textId="77777777" w:rsidR="00841351" w:rsidRPr="00841351" w:rsidRDefault="00841351" w:rsidP="00841351">
      <w:pPr>
        <w:pStyle w:val="ListParagraph"/>
        <w:widowControl w:val="0"/>
        <w:numPr>
          <w:ilvl w:val="3"/>
          <w:numId w:val="10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OMR Agreement by July 1 but extension can be requested if progress is made</w:t>
      </w:r>
    </w:p>
    <w:p w14:paraId="48DB9A8B" w14:textId="77777777" w:rsidR="00841351" w:rsidRPr="00841351" w:rsidRDefault="00841351" w:rsidP="00841351">
      <w:pPr>
        <w:pStyle w:val="ListParagraph"/>
        <w:widowControl w:val="0"/>
        <w:numPr>
          <w:ilvl w:val="3"/>
          <w:numId w:val="10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Engineering Report – within 60 days</w:t>
      </w:r>
    </w:p>
    <w:p w14:paraId="2BC4928D" w14:textId="77777777" w:rsidR="00841351" w:rsidRPr="00841351" w:rsidRDefault="00841351" w:rsidP="00841351">
      <w:pPr>
        <w:pStyle w:val="ListParagraph"/>
        <w:widowControl w:val="0"/>
        <w:numPr>
          <w:ilvl w:val="3"/>
          <w:numId w:val="10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Monthly Status Reports and monthly maintenance reports - ongoing</w:t>
      </w:r>
    </w:p>
    <w:p w14:paraId="1599F609" w14:textId="77777777" w:rsidR="00841351" w:rsidRPr="00841351" w:rsidRDefault="00841351" w:rsidP="00841351">
      <w:pPr>
        <w:widowControl w:val="0"/>
        <w:ind w:left="2160"/>
        <w:jc w:val="both"/>
        <w:rPr>
          <w:rFonts w:eastAsia="Arial" w:cs="Arial"/>
          <w:sz w:val="22"/>
        </w:rPr>
      </w:pPr>
    </w:p>
    <w:p w14:paraId="4593DFF5" w14:textId="77777777" w:rsidR="002E6DD9" w:rsidRDefault="002E6DD9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bookmarkEnd w:id="5"/>
    <w:p w14:paraId="433D75C5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27DBCD00" w14:textId="77777777" w:rsidR="002E6DD9" w:rsidRDefault="002E6DD9" w:rsidP="002E6DD9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365448F3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5A7F64D9" w14:textId="77777777" w:rsidR="002E6DD9" w:rsidRPr="00EF6F8F" w:rsidRDefault="002E6DD9" w:rsidP="002E6DD9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644CB91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E667708" w14:textId="6C708BEB" w:rsidR="002E6DD9" w:rsidRDefault="002E6DD9" w:rsidP="00ED6EC6">
      <w:pPr>
        <w:numPr>
          <w:ilvl w:val="1"/>
          <w:numId w:val="7"/>
        </w:numPr>
        <w:ind w:left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Noise Variance Request – </w:t>
      </w:r>
      <w:r w:rsidR="005C2166">
        <w:rPr>
          <w:rFonts w:ascii="Century Gothic" w:hAnsi="Century Gothic"/>
          <w:sz w:val="22"/>
        </w:rPr>
        <w:t>Summit Contracting Group</w:t>
      </w:r>
    </w:p>
    <w:p w14:paraId="6BF16484" w14:textId="77777777" w:rsidR="002E6DD9" w:rsidRPr="00C06AEF" w:rsidRDefault="002E6DD9" w:rsidP="002E6DD9">
      <w:pPr>
        <w:numPr>
          <w:ilvl w:val="2"/>
          <w:numId w:val="7"/>
        </w:numPr>
        <w:ind w:left="1800"/>
        <w:rPr>
          <w:rFonts w:ascii="Century Gothic" w:hAnsi="Century Gothic"/>
          <w:sz w:val="22"/>
        </w:rPr>
      </w:pPr>
      <w:bookmarkStart w:id="6" w:name="_Hlk150512030"/>
      <w:r w:rsidRPr="00C06AEF">
        <w:rPr>
          <w:rFonts w:ascii="Century Gothic" w:hAnsi="Century Gothic"/>
          <w:sz w:val="22"/>
        </w:rPr>
        <w:t>Waive JEPB Rule 1.602(e)</w:t>
      </w:r>
    </w:p>
    <w:bookmarkEnd w:id="6"/>
    <w:p w14:paraId="64609ACC" w14:textId="77777777" w:rsidR="002E6DD9" w:rsidRDefault="002E6DD9" w:rsidP="002E6DD9">
      <w:pPr>
        <w:ind w:left="810"/>
        <w:rPr>
          <w:rFonts w:ascii="Century Gothic" w:hAnsi="Century Gothic"/>
          <w:sz w:val="22"/>
        </w:rPr>
      </w:pPr>
    </w:p>
    <w:p w14:paraId="691F71F4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7663826B" w14:textId="0E121D0A" w:rsidR="002E6DD9" w:rsidRDefault="005C2166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7" w:name="_Hlk158819444"/>
      <w:r>
        <w:rPr>
          <w:rFonts w:ascii="Century Gothic" w:hAnsi="Century Gothic"/>
          <w:sz w:val="22"/>
        </w:rPr>
        <w:t>Rulemaking – JEPB Rule 2</w:t>
      </w:r>
    </w:p>
    <w:p w14:paraId="12B90391" w14:textId="77777777" w:rsidR="005C2166" w:rsidRPr="00EF6F8F" w:rsidRDefault="005C2166" w:rsidP="005C2166">
      <w:pPr>
        <w:ind w:left="720"/>
        <w:rPr>
          <w:rFonts w:ascii="Century Gothic" w:hAnsi="Century Gothic"/>
          <w:sz w:val="22"/>
        </w:rPr>
      </w:pPr>
    </w:p>
    <w:bookmarkEnd w:id="7"/>
    <w:p w14:paraId="628F2879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9108F7D" w14:textId="77777777" w:rsidR="002E6DD9" w:rsidRPr="00EF6F8F" w:rsidRDefault="002E6DD9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B5D669A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49362AFD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3E1C0E4B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555D19AD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6FAEF82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26730F7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72528AA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5795D2D4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29C5FD63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2B9687CC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48E465D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D24B76F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049E0999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33ECD6F" w14:textId="77777777" w:rsidR="00ED6EC6" w:rsidRDefault="00ED6EC6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1DF7448D" w14:textId="77777777" w:rsidR="00ED6EC6" w:rsidRDefault="00ED6EC6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DE2F831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47583FD3" w14:textId="2C9A4136" w:rsidR="002E6DD9" w:rsidRPr="00BD22ED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>
        <w:rPr>
          <w:rFonts w:ascii="Century Gothic" w:hAnsi="Century Gothic" w:cs="Century Gothic"/>
          <w:sz w:val="22"/>
        </w:rPr>
        <w:t>Ju</w:t>
      </w:r>
      <w:r w:rsidR="005C2166">
        <w:rPr>
          <w:rFonts w:ascii="Century Gothic" w:hAnsi="Century Gothic" w:cs="Century Gothic"/>
          <w:sz w:val="22"/>
        </w:rPr>
        <w:t>ly</w:t>
      </w:r>
      <w:r>
        <w:rPr>
          <w:rFonts w:ascii="Century Gothic" w:hAnsi="Century Gothic" w:cs="Century Gothic"/>
          <w:sz w:val="22"/>
        </w:rPr>
        <w:t xml:space="preserve"> </w:t>
      </w:r>
      <w:r w:rsidR="005C2166">
        <w:rPr>
          <w:rFonts w:ascii="Century Gothic" w:hAnsi="Century Gothic" w:cs="Century Gothic"/>
          <w:sz w:val="22"/>
        </w:rPr>
        <w:t>8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1F955B32" w14:textId="49D9B000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>Monday, Ju</w:t>
      </w:r>
      <w:r w:rsidR="005C2166">
        <w:rPr>
          <w:rFonts w:ascii="Century Gothic" w:hAnsi="Century Gothic" w:cs="Century Gothic"/>
          <w:sz w:val="22"/>
        </w:rPr>
        <w:t>ly</w:t>
      </w:r>
      <w:r>
        <w:rPr>
          <w:rFonts w:ascii="Century Gothic" w:hAnsi="Century Gothic" w:cs="Century Gothic"/>
          <w:sz w:val="22"/>
        </w:rPr>
        <w:t xml:space="preserve"> 1</w:t>
      </w:r>
      <w:r w:rsidR="005C2166">
        <w:rPr>
          <w:rFonts w:ascii="Century Gothic" w:hAnsi="Century Gothic" w:cs="Century Gothic"/>
          <w:sz w:val="22"/>
        </w:rPr>
        <w:t>5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3FD842F7" w14:textId="77777777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668DC13D" w14:textId="77777777" w:rsidR="002E6DD9" w:rsidRPr="00F53364" w:rsidRDefault="002E6DD9" w:rsidP="002E6DD9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Air Committee – Monday, June 24, 2024, at 4:30 pm</w:t>
      </w:r>
    </w:p>
    <w:p w14:paraId="673B343F" w14:textId="77777777" w:rsidR="002E6DD9" w:rsidRDefault="002E6DD9" w:rsidP="002E6DD9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Monday, June 24, 2024, at 5:30 pm</w:t>
      </w:r>
    </w:p>
    <w:p w14:paraId="65505516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55DD2507" w14:textId="77777777" w:rsidR="002E6DD9" w:rsidRDefault="002E6DD9" w:rsidP="002E6DD9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1FE256EF" w14:textId="77777777" w:rsidR="002E6DD9" w:rsidRDefault="002E6DD9" w:rsidP="002E6DD9"/>
    <w:p w14:paraId="492DDD0D" w14:textId="77777777" w:rsidR="002E6DD9" w:rsidRPr="00E257B3" w:rsidRDefault="002E6DD9" w:rsidP="002E6DD9">
      <w:pPr>
        <w:pStyle w:val="Heading2"/>
        <w:spacing w:before="0" w:beforeAutospacing="0" w:after="0" w:afterAutospacing="0"/>
        <w:jc w:val="center"/>
      </w:pPr>
    </w:p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36"/>
      <w:gridCol w:w="5814"/>
      <w:gridCol w:w="2340"/>
    </w:tblGrid>
    <w:tr w:rsidR="00683D3D" w14:paraId="76CAA857" w14:textId="77777777" w:rsidTr="008B03E0">
      <w:trPr>
        <w:trHeight w:val="2790"/>
        <w:tblHeader/>
      </w:trPr>
      <w:tc>
        <w:tcPr>
          <w:tcW w:w="2736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7860FD4F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LMHC,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517AC6">
            <w:rPr>
              <w:color w:val="1F497D" w:themeColor="text2"/>
              <w:sz w:val="16"/>
              <w:szCs w:val="16"/>
            </w:rPr>
            <w:t xml:space="preserve">    </w:t>
          </w:r>
          <w:r w:rsidR="008B03E0">
            <w:rPr>
              <w:color w:val="1F497D" w:themeColor="text2"/>
              <w:sz w:val="16"/>
              <w:szCs w:val="16"/>
            </w:rPr>
            <w:t xml:space="preserve">            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A231A8">
            <w:rPr>
              <w:color w:val="1F497D" w:themeColor="text2"/>
              <w:sz w:val="16"/>
              <w:szCs w:val="16"/>
            </w:rPr>
            <w:t xml:space="preserve">Margarete Vest, P.E. </w:t>
          </w:r>
          <w:r w:rsidR="00B25551">
            <w:rPr>
              <w:color w:val="1F497D" w:themeColor="text2"/>
              <w:sz w:val="16"/>
              <w:szCs w:val="16"/>
            </w:rPr>
            <w:t xml:space="preserve">David </w:t>
          </w:r>
          <w:r w:rsidR="008B03E0">
            <w:rPr>
              <w:color w:val="1F497D" w:themeColor="text2"/>
              <w:sz w:val="16"/>
              <w:szCs w:val="16"/>
            </w:rPr>
            <w:t>W</w:t>
          </w:r>
          <w:r w:rsidR="00B25551">
            <w:rPr>
              <w:color w:val="1F497D" w:themeColor="text2"/>
              <w:sz w:val="16"/>
              <w:szCs w:val="16"/>
            </w:rPr>
            <w:t>ood</w:t>
          </w:r>
        </w:p>
      </w:tc>
      <w:tc>
        <w:tcPr>
          <w:tcW w:w="234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55CF61B0" w:rsidR="00AA7533" w:rsidRDefault="00AA7533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3BF788B4" w14:textId="77777777" w:rsidR="00A231A8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15477758" w:rsidR="000B378F" w:rsidRDefault="00A231A8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24C124BC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0D45A08B" w14:textId="636120AC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A231A8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23300BA5" w:rsidR="00A231A8" w:rsidRPr="00EC3733" w:rsidRDefault="00A231A8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4DF3"/>
    <w:multiLevelType w:val="hybridMultilevel"/>
    <w:tmpl w:val="C4C2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4"/>
  </w:num>
  <w:num w:numId="3" w16cid:durableId="1314215821">
    <w:abstractNumId w:val="1"/>
  </w:num>
  <w:num w:numId="4" w16cid:durableId="1893926941">
    <w:abstractNumId w:val="6"/>
  </w:num>
  <w:num w:numId="5" w16cid:durableId="1683168007">
    <w:abstractNumId w:val="9"/>
  </w:num>
  <w:num w:numId="6" w16cid:durableId="246572459">
    <w:abstractNumId w:val="3"/>
  </w:num>
  <w:num w:numId="7" w16cid:durableId="1184174610">
    <w:abstractNumId w:val="5"/>
  </w:num>
  <w:num w:numId="8" w16cid:durableId="524369335">
    <w:abstractNumId w:val="0"/>
  </w:num>
  <w:num w:numId="9" w16cid:durableId="1920095977">
    <w:abstractNumId w:val="8"/>
  </w:num>
  <w:num w:numId="10" w16cid:durableId="91291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82EE2"/>
    <w:rsid w:val="001E7050"/>
    <w:rsid w:val="00211C95"/>
    <w:rsid w:val="002B2EF8"/>
    <w:rsid w:val="002E2051"/>
    <w:rsid w:val="002E6DD9"/>
    <w:rsid w:val="00323D40"/>
    <w:rsid w:val="003355F7"/>
    <w:rsid w:val="00394A11"/>
    <w:rsid w:val="00453F81"/>
    <w:rsid w:val="00487293"/>
    <w:rsid w:val="004946C2"/>
    <w:rsid w:val="004D2F67"/>
    <w:rsid w:val="0050164B"/>
    <w:rsid w:val="0050363F"/>
    <w:rsid w:val="00517AC6"/>
    <w:rsid w:val="00584588"/>
    <w:rsid w:val="005960BE"/>
    <w:rsid w:val="005C2166"/>
    <w:rsid w:val="0060094D"/>
    <w:rsid w:val="006826BB"/>
    <w:rsid w:val="00683D3D"/>
    <w:rsid w:val="006F3EF1"/>
    <w:rsid w:val="006F6832"/>
    <w:rsid w:val="00762556"/>
    <w:rsid w:val="007D1C67"/>
    <w:rsid w:val="008017C6"/>
    <w:rsid w:val="00841351"/>
    <w:rsid w:val="008A4B6B"/>
    <w:rsid w:val="008B03E0"/>
    <w:rsid w:val="008E60E9"/>
    <w:rsid w:val="00970DA0"/>
    <w:rsid w:val="00A231A8"/>
    <w:rsid w:val="00A439F0"/>
    <w:rsid w:val="00A77E44"/>
    <w:rsid w:val="00A94C57"/>
    <w:rsid w:val="00AA7533"/>
    <w:rsid w:val="00AC3542"/>
    <w:rsid w:val="00AD5582"/>
    <w:rsid w:val="00B25551"/>
    <w:rsid w:val="00B479B2"/>
    <w:rsid w:val="00BB5C12"/>
    <w:rsid w:val="00C038F6"/>
    <w:rsid w:val="00C31DC7"/>
    <w:rsid w:val="00CA2D70"/>
    <w:rsid w:val="00CF1E4D"/>
    <w:rsid w:val="00CF5FAD"/>
    <w:rsid w:val="00D03439"/>
    <w:rsid w:val="00D26FB5"/>
    <w:rsid w:val="00D709DF"/>
    <w:rsid w:val="00E00894"/>
    <w:rsid w:val="00E257B3"/>
    <w:rsid w:val="00E26100"/>
    <w:rsid w:val="00E635CA"/>
    <w:rsid w:val="00E6361D"/>
    <w:rsid w:val="00ED6EC6"/>
    <w:rsid w:val="00EF17DF"/>
    <w:rsid w:val="00F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2AC6E51C91435AA044F04953AA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AAB8-874F-4904-886E-4723761D7BB3}"/>
      </w:docPartPr>
      <w:docPartBody>
        <w:p w:rsidR="004479DF" w:rsidRDefault="004479DF" w:rsidP="004479DF">
          <w:pPr>
            <w:pStyle w:val="D62AC6E51C91435AA044F04953AAD354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  <w:docPart>
      <w:docPartPr>
        <w:name w:val="D739559E10324536AA978E8B86BF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78A7-0890-48F7-8CB4-EFD64A3479C8}"/>
      </w:docPartPr>
      <w:docPartBody>
        <w:p w:rsidR="004479DF" w:rsidRDefault="004479DF" w:rsidP="004479DF">
          <w:pPr>
            <w:pStyle w:val="D739559E10324536AA978E8B86BFC77B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  <w:docPart>
      <w:docPartPr>
        <w:name w:val="543D8CB82FAA461CB8CDC9C77279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FE0A-950C-4028-9C4F-3A6F12763B55}"/>
      </w:docPartPr>
      <w:docPartBody>
        <w:p w:rsidR="004479DF" w:rsidRDefault="004479DF" w:rsidP="004479DF">
          <w:pPr>
            <w:pStyle w:val="543D8CB82FAA461CB8CDC9C77279B15B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list rules.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F"/>
    <w:rsid w:val="004479DF"/>
    <w:rsid w:val="006F6832"/>
    <w:rsid w:val="00E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9DF"/>
    <w:rPr>
      <w:color w:val="808080"/>
    </w:rPr>
  </w:style>
  <w:style w:type="paragraph" w:customStyle="1" w:styleId="D62AC6E51C91435AA044F04953AAD354">
    <w:name w:val="D62AC6E51C91435AA044F04953AAD354"/>
    <w:rsid w:val="004479DF"/>
  </w:style>
  <w:style w:type="paragraph" w:customStyle="1" w:styleId="D739559E10324536AA978E8B86BFC77B">
    <w:name w:val="D739559E10324536AA978E8B86BFC77B"/>
    <w:rsid w:val="004479DF"/>
  </w:style>
  <w:style w:type="paragraph" w:customStyle="1" w:styleId="543D8CB82FAA461CB8CDC9C77279B15B">
    <w:name w:val="543D8CB82FAA461CB8CDC9C77279B15B"/>
    <w:rsid w:val="0044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5</cp:revision>
  <cp:lastPrinted>2022-07-29T15:38:00Z</cp:lastPrinted>
  <dcterms:created xsi:type="dcterms:W3CDTF">2024-06-11T13:53:00Z</dcterms:created>
  <dcterms:modified xsi:type="dcterms:W3CDTF">2024-06-11T16:01:00Z</dcterms:modified>
</cp:coreProperties>
</file>