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849D" w14:textId="77777777" w:rsidR="00CF5FAD" w:rsidRPr="00CF5FAD" w:rsidRDefault="00CF5FAD" w:rsidP="00CF5FAD"/>
    <w:p w14:paraId="71768200" w14:textId="77777777" w:rsidR="00B14080" w:rsidRPr="00CF5FAD" w:rsidRDefault="00B14080" w:rsidP="00B14080"/>
    <w:p w14:paraId="6A662705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Jacksonville Environmental Protection Board</w:t>
      </w:r>
    </w:p>
    <w:p w14:paraId="6BF3CFBE" w14:textId="4160E8C3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Monday, </w:t>
      </w:r>
      <w:r w:rsidR="00DA6D5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Ju</w:t>
      </w:r>
      <w:r w:rsidR="0045215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ly</w:t>
      </w:r>
      <w:r w:rsidR="00DA6D5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1</w:t>
      </w:r>
      <w:r w:rsidR="0045215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5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 2024</w:t>
      </w:r>
    </w:p>
    <w:p w14:paraId="03759F91" w14:textId="77777777" w:rsidR="00B14080" w:rsidRPr="00B06508" w:rsidRDefault="00B14080" w:rsidP="00B14080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MONTHLY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MEETING SUMMARY</w:t>
      </w:r>
    </w:p>
    <w:p w14:paraId="527734BF" w14:textId="77777777" w:rsidR="00B14080" w:rsidRPr="00B06508" w:rsidRDefault="00B14080" w:rsidP="00B14080"/>
    <w:p w14:paraId="422F70A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PRESENT:</w:t>
      </w:r>
    </w:p>
    <w:p w14:paraId="3100CA3F" w14:textId="77777777" w:rsidR="00B14080" w:rsidRPr="00B06508" w:rsidRDefault="00B14080" w:rsidP="00B14080">
      <w:pPr>
        <w:sectPr w:rsidR="00B14080" w:rsidRPr="00B06508" w:rsidSect="00B140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2B4935F0" w14:textId="77777777" w:rsidR="003C20D5" w:rsidRDefault="00DA6D5B" w:rsidP="00B14080">
      <w:r>
        <w:t>A</w:t>
      </w:r>
      <w:r w:rsidRPr="00920EB3">
        <w:t>dam Hoyles</w:t>
      </w:r>
      <w:r>
        <w:t>, Vice-Chair</w:t>
      </w:r>
    </w:p>
    <w:p w14:paraId="4B52AAEA" w14:textId="1EA1410C" w:rsidR="00B14080" w:rsidRDefault="00B14080" w:rsidP="00B14080">
      <w:r>
        <w:t>Clint Noble, P.G.</w:t>
      </w:r>
    </w:p>
    <w:p w14:paraId="4C54C045" w14:textId="48A5304C" w:rsidR="003C20D5" w:rsidRDefault="00B10013" w:rsidP="00B14080">
      <w:r>
        <w:t>Josh Gellers, Ph.D.</w:t>
      </w:r>
      <w:r w:rsidR="00B327CF">
        <w:tab/>
      </w:r>
      <w:r w:rsidR="00B327CF">
        <w:tab/>
      </w:r>
    </w:p>
    <w:p w14:paraId="43CE20D8" w14:textId="32A70417" w:rsidR="00B327CF" w:rsidRDefault="003C20D5" w:rsidP="00B14080">
      <w:r>
        <w:t>Guillermo Simon, P.E.</w:t>
      </w:r>
    </w:p>
    <w:p w14:paraId="23D8C806" w14:textId="5AF47CC0" w:rsidR="003C20D5" w:rsidRDefault="00DA6D5B" w:rsidP="00DA6D5B">
      <w:r>
        <w:t>Margarete Vest, P.E.</w:t>
      </w:r>
      <w:r>
        <w:tab/>
      </w:r>
      <w:r>
        <w:tab/>
      </w:r>
      <w:r>
        <w:tab/>
      </w:r>
    </w:p>
    <w:p w14:paraId="0E2DE9C1" w14:textId="6A60EFB4" w:rsidR="00DA6D5B" w:rsidRPr="00B06508" w:rsidRDefault="00DA6D5B" w:rsidP="00DA6D5B">
      <w:r w:rsidRPr="00B06508">
        <w:t>David Wood</w:t>
      </w:r>
    </w:p>
    <w:p w14:paraId="043AB312" w14:textId="77777777" w:rsidR="003C20D5" w:rsidRDefault="003C20D5" w:rsidP="00B14080">
      <w:pPr>
        <w:sectPr w:rsidR="003C20D5" w:rsidSect="003C20D5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7958D0EF" w14:textId="77777777" w:rsidR="00B10013" w:rsidRDefault="00B10013" w:rsidP="00B14080"/>
    <w:p w14:paraId="3CF7292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MEMBERS NOT PRESENT:</w:t>
      </w:r>
    </w:p>
    <w:p w14:paraId="70F1A237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1D975AA" w14:textId="77777777" w:rsidR="003C20D5" w:rsidRDefault="003C20D5" w:rsidP="003C20D5">
      <w:r w:rsidRPr="00B06508">
        <w:t>Thomas Deck</w:t>
      </w:r>
      <w:r>
        <w:t>, Chair</w:t>
      </w:r>
      <w:r w:rsidRPr="00B06508">
        <w:t xml:space="preserve"> </w:t>
      </w:r>
    </w:p>
    <w:p w14:paraId="1977994E" w14:textId="77777777" w:rsidR="003C20D5" w:rsidRDefault="003C20D5" w:rsidP="003C20D5">
      <w:r>
        <w:t>Sunil Joshi, M.D.</w:t>
      </w:r>
      <w:r w:rsidRPr="00A3710D">
        <w:t xml:space="preserve"> </w:t>
      </w:r>
    </w:p>
    <w:p w14:paraId="1BF6F46B" w14:textId="77777777" w:rsidR="000E7FB5" w:rsidRDefault="000E7FB5" w:rsidP="00B14080">
      <w:pPr>
        <w:sectPr w:rsidR="000E7FB5" w:rsidSect="000E7FB5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05AE3EBA" w14:textId="6233B431" w:rsidR="00B14080" w:rsidRDefault="003C20D5" w:rsidP="00B14080">
      <w:r>
        <w:t>Desiree Jones</w:t>
      </w:r>
      <w:r w:rsidR="00B14080">
        <w:tab/>
      </w:r>
    </w:p>
    <w:p w14:paraId="08A91814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51044755" w14:textId="77777777" w:rsidR="003C20D5" w:rsidRDefault="003C20D5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30C0E1" w14:textId="13F8F60F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STAFF/RESOURCES PRESENT:</w:t>
      </w:r>
    </w:p>
    <w:p w14:paraId="3F644BCF" w14:textId="77777777" w:rsidR="00B14080" w:rsidRPr="00B06508" w:rsidRDefault="00B14080" w:rsidP="00B14080">
      <w:pPr>
        <w:sectPr w:rsidR="00B14080" w:rsidRPr="00B06508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5BD1666" w14:textId="77777777" w:rsidR="00B14080" w:rsidRPr="00B06508" w:rsidRDefault="00B14080" w:rsidP="00B14080">
      <w:r w:rsidRPr="00B06508">
        <w:t>James Richardson, JEPB Administrator</w:t>
      </w:r>
    </w:p>
    <w:p w14:paraId="336AEDE8" w14:textId="462110D9" w:rsidR="00DA6D5B" w:rsidRDefault="00DA6D5B" w:rsidP="00B14080">
      <w:r>
        <w:t>Melissa Long, EQD</w:t>
      </w:r>
    </w:p>
    <w:p w14:paraId="4211047F" w14:textId="79B1C1F6" w:rsidR="00B14080" w:rsidRDefault="00B14080" w:rsidP="00B14080">
      <w:r>
        <w:t>Cherry Pollock, OGC</w:t>
      </w:r>
    </w:p>
    <w:p w14:paraId="21E653E1" w14:textId="77777777" w:rsidR="00B14080" w:rsidRDefault="00B14080" w:rsidP="00B14080">
      <w:r>
        <w:t>Terry Carr, EQD</w:t>
      </w:r>
      <w:r>
        <w:tab/>
      </w:r>
      <w:r>
        <w:tab/>
      </w:r>
      <w:r>
        <w:tab/>
      </w:r>
      <w:r>
        <w:tab/>
      </w:r>
    </w:p>
    <w:p w14:paraId="1C2CAD1E" w14:textId="77777777" w:rsidR="00B14080" w:rsidRDefault="00B14080" w:rsidP="00B14080">
      <w:r>
        <w:t>Mike Williams, EQD</w:t>
      </w:r>
    </w:p>
    <w:p w14:paraId="78FA0B39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2B8D73CF" w14:textId="77777777" w:rsidR="00B14080" w:rsidRPr="00B06508" w:rsidRDefault="00B14080" w:rsidP="00B14080"/>
    <w:p w14:paraId="6CA08777" w14:textId="77777777" w:rsidR="00B14080" w:rsidRPr="00B06508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0" w:name="_Hlk66975304"/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VISITOR(s) PRESENT:</w:t>
      </w:r>
    </w:p>
    <w:p w14:paraId="6579D411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00951DF5" w14:textId="4D160B60" w:rsidR="003C20D5" w:rsidRDefault="003C20D5" w:rsidP="00B14080">
      <w:r>
        <w:t>John Nooney</w:t>
      </w:r>
    </w:p>
    <w:p w14:paraId="4C898E1F" w14:textId="178F244F" w:rsidR="00B14080" w:rsidRDefault="003C20D5" w:rsidP="00B14080">
      <w:r>
        <w:t>Kyle Webb, Auld-White</w:t>
      </w:r>
    </w:p>
    <w:p w14:paraId="210A2ED8" w14:textId="52F3A258" w:rsidR="000E7FB5" w:rsidRDefault="003C20D5" w:rsidP="00B14080">
      <w:r>
        <w:t>Adam Herron, Auld-White</w:t>
      </w:r>
    </w:p>
    <w:p w14:paraId="16980A7C" w14:textId="67A7F244" w:rsidR="00DA6D5B" w:rsidRDefault="00DA6D5B" w:rsidP="00B14080"/>
    <w:p w14:paraId="541E17DF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bookmarkEnd w:id="0"/>
    <w:p w14:paraId="2186B356" w14:textId="77777777" w:rsidR="00B14080" w:rsidRDefault="00B14080" w:rsidP="00B14080">
      <w:pPr>
        <w:sectPr w:rsidR="00B14080" w:rsidSect="00B14080">
          <w:type w:val="continuous"/>
          <w:pgSz w:w="12240" w:h="15840"/>
          <w:pgMar w:top="1440" w:right="1440" w:bottom="1440" w:left="1440" w:header="360" w:footer="720" w:gutter="0"/>
          <w:cols w:num="2" w:space="720"/>
          <w:titlePg/>
          <w:docGrid w:linePitch="360"/>
        </w:sectPr>
      </w:pPr>
    </w:p>
    <w:p w14:paraId="479A9E3E" w14:textId="4554ECA0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 xml:space="preserve">CALL TO ORDER 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5368D7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ADAM HOYLES</w:t>
      </w:r>
    </w:p>
    <w:p w14:paraId="11B58C9D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INTRODUCTIONS</w:t>
      </w:r>
    </w:p>
    <w:p w14:paraId="7CE01F93" w14:textId="23870FC0" w:rsidR="00B14080" w:rsidRDefault="005368D7" w:rsidP="00B14080">
      <w:r>
        <w:t>Vice-</w:t>
      </w:r>
      <w:r w:rsidR="00B14080" w:rsidRPr="00B06508">
        <w:t xml:space="preserve">Chair </w:t>
      </w:r>
      <w:r>
        <w:t>Hoyles</w:t>
      </w:r>
      <w:r w:rsidR="00B14080">
        <w:t xml:space="preserve"> </w:t>
      </w:r>
      <w:r w:rsidR="00B14080" w:rsidRPr="00B06508">
        <w:t xml:space="preserve">called to order the </w:t>
      </w:r>
      <w:r w:rsidR="00B14080">
        <w:t xml:space="preserve">monthly </w:t>
      </w:r>
      <w:r w:rsidR="00B14080" w:rsidRPr="00B06508">
        <w:t>meeting of the Jacksonville Environmental Protection Board (JEPB) at 5:0</w:t>
      </w:r>
      <w:r w:rsidR="000E7FB5">
        <w:t>1</w:t>
      </w:r>
      <w:r w:rsidR="00B14080" w:rsidRPr="00B06508">
        <w:t xml:space="preserve"> pm.  A quorum </w:t>
      </w:r>
      <w:r w:rsidR="00B14080">
        <w:t xml:space="preserve">was </w:t>
      </w:r>
      <w:r w:rsidR="00B14080" w:rsidRPr="00B06508">
        <w:t>established</w:t>
      </w:r>
      <w:r w:rsidR="00B14080">
        <w:t xml:space="preserve">.  </w:t>
      </w:r>
    </w:p>
    <w:p w14:paraId="3D28419D" w14:textId="77777777" w:rsidR="00B14080" w:rsidRDefault="00B14080" w:rsidP="00B14080"/>
    <w:p w14:paraId="4C69FD93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CHAIRMANS REMARKS</w:t>
      </w:r>
    </w:p>
    <w:p w14:paraId="1931CC91" w14:textId="77777777" w:rsidR="00B14080" w:rsidRDefault="00B14080" w:rsidP="00B14080">
      <w:r>
        <w:t>None</w:t>
      </w:r>
    </w:p>
    <w:p w14:paraId="26819A30" w14:textId="77777777" w:rsidR="00B14080" w:rsidRDefault="00B14080" w:rsidP="00B14080"/>
    <w:p w14:paraId="5504F02A" w14:textId="77777777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" w:name="_Hlk142294547"/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COMMENTS FROM THE PUBLIC </w:t>
      </w:r>
    </w:p>
    <w:bookmarkEnd w:id="1"/>
    <w:p w14:paraId="397E5519" w14:textId="23BC4A9C" w:rsidR="00B14080" w:rsidRDefault="000904D9" w:rsidP="00B14080">
      <w:r>
        <w:t>John Nooney spoke on various topics including the potential of a Pottsburg Creek public park, corruption on the waterways, resilience and others.</w:t>
      </w:r>
    </w:p>
    <w:p w14:paraId="3E9371C1" w14:textId="77777777" w:rsidR="00B14080" w:rsidRDefault="00B14080" w:rsidP="00B14080"/>
    <w:p w14:paraId="397FD281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APPROVAL OF MINUTES</w:t>
      </w:r>
    </w:p>
    <w:p w14:paraId="1BAF100F" w14:textId="77777777" w:rsidR="000904D9" w:rsidRDefault="000904D9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June 17</w:t>
      </w:r>
      <w:r w:rsidR="009E3054">
        <w:rPr>
          <w:rFonts w:ascii="Century Gothic" w:hAnsi="Century Gothic"/>
          <w:bCs/>
          <w:sz w:val="22"/>
        </w:rPr>
        <w:t xml:space="preserve">, </w:t>
      </w:r>
      <w:proofErr w:type="gramStart"/>
      <w:r w:rsidR="009E3054">
        <w:rPr>
          <w:rFonts w:ascii="Century Gothic" w:hAnsi="Century Gothic"/>
          <w:bCs/>
          <w:sz w:val="22"/>
        </w:rPr>
        <w:t>2024</w:t>
      </w:r>
      <w:proofErr w:type="gramEnd"/>
      <w:r w:rsidR="000E7FB5">
        <w:rPr>
          <w:rFonts w:ascii="Century Gothic" w:hAnsi="Century Gothic"/>
          <w:bCs/>
          <w:sz w:val="22"/>
        </w:rPr>
        <w:t xml:space="preserve"> </w:t>
      </w:r>
      <w:r w:rsidR="00B14080" w:rsidRPr="008D3936">
        <w:rPr>
          <w:rFonts w:ascii="Century Gothic" w:hAnsi="Century Gothic"/>
          <w:bCs/>
          <w:sz w:val="22"/>
        </w:rPr>
        <w:t xml:space="preserve">Monthly </w:t>
      </w:r>
      <w:r w:rsidR="000E7FB5">
        <w:rPr>
          <w:rFonts w:ascii="Century Gothic" w:hAnsi="Century Gothic"/>
          <w:bCs/>
          <w:sz w:val="22"/>
        </w:rPr>
        <w:t xml:space="preserve">Board </w:t>
      </w:r>
      <w:r w:rsidR="00B14080" w:rsidRPr="008D3936">
        <w:rPr>
          <w:rFonts w:ascii="Century Gothic" w:hAnsi="Century Gothic"/>
          <w:bCs/>
          <w:sz w:val="22"/>
        </w:rPr>
        <w:t>Meeting</w:t>
      </w:r>
      <w:r w:rsidR="00B14080">
        <w:rPr>
          <w:rFonts w:ascii="Century Gothic" w:hAnsi="Century Gothic"/>
          <w:bCs/>
          <w:sz w:val="22"/>
        </w:rPr>
        <w:t xml:space="preserve"> Summar</w:t>
      </w:r>
      <w:r w:rsidR="009E3054">
        <w:rPr>
          <w:rFonts w:ascii="Century Gothic" w:hAnsi="Century Gothic"/>
          <w:bCs/>
          <w:sz w:val="22"/>
        </w:rPr>
        <w:t xml:space="preserve">y </w:t>
      </w:r>
    </w:p>
    <w:p w14:paraId="77BB6D16" w14:textId="2AB28ABE" w:rsidR="00B14080" w:rsidRDefault="000904D9" w:rsidP="00B1408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June 24, </w:t>
      </w:r>
      <w:proofErr w:type="gramStart"/>
      <w:r>
        <w:rPr>
          <w:rFonts w:ascii="Century Gothic" w:hAnsi="Century Gothic"/>
          <w:bCs/>
          <w:sz w:val="22"/>
        </w:rPr>
        <w:t>2024</w:t>
      </w:r>
      <w:proofErr w:type="gramEnd"/>
      <w:r>
        <w:rPr>
          <w:rFonts w:ascii="Century Gothic" w:hAnsi="Century Gothic"/>
          <w:bCs/>
          <w:sz w:val="22"/>
        </w:rPr>
        <w:t xml:space="preserve"> JEPB Committee Meeting Summaries</w:t>
      </w:r>
      <w:r w:rsidR="000E7FB5">
        <w:rPr>
          <w:rFonts w:ascii="Century Gothic" w:hAnsi="Century Gothic"/>
          <w:bCs/>
          <w:sz w:val="22"/>
        </w:rPr>
        <w:t xml:space="preserve"> </w:t>
      </w:r>
    </w:p>
    <w:p w14:paraId="0DCD193A" w14:textId="77777777" w:rsidR="00B14080" w:rsidRDefault="00B14080" w:rsidP="00B14080"/>
    <w:p w14:paraId="104D87A3" w14:textId="49673CA1" w:rsidR="00B14080" w:rsidRDefault="00B14080" w:rsidP="00B14080">
      <w:r>
        <w:t>A motion was made (</w:t>
      </w:r>
      <w:r w:rsidR="000904D9">
        <w:t>Gellers</w:t>
      </w:r>
      <w:r>
        <w:t>) to approve the meeting summaries, properly seconded (</w:t>
      </w:r>
      <w:r w:rsidR="000904D9">
        <w:t>Noble</w:t>
      </w:r>
      <w:r>
        <w:t>) and approved by the body.</w:t>
      </w:r>
    </w:p>
    <w:p w14:paraId="09592939" w14:textId="77777777" w:rsidR="00B14080" w:rsidRDefault="00B14080" w:rsidP="00B14080"/>
    <w:p w14:paraId="3C8F1B3E" w14:textId="5109E5CE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CONSENT ORDERS</w:t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0E7FB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>JAMES RICHARDSON</w:t>
      </w:r>
    </w:p>
    <w:p w14:paraId="5914E174" w14:textId="77777777" w:rsidR="00B14080" w:rsidRDefault="00B14080" w:rsidP="00B1408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1A075E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bookmarkStart w:id="2" w:name="_Hlk48050436"/>
      <w:r w:rsidRPr="006173A2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t>Air/Noise</w:t>
      </w:r>
    </w:p>
    <w:p w14:paraId="2E996E07" w14:textId="77777777" w:rsidR="00B14080" w:rsidRDefault="00B14080" w:rsidP="00B14080">
      <w:pPr>
        <w:keepNext/>
        <w:keepLines/>
        <w:ind w:firstLine="720"/>
        <w:outlineLvl w:val="1"/>
        <w:rPr>
          <w:rFonts w:ascii="Century Gothic" w:eastAsia="Calibri" w:hAnsi="Century Gothic" w:cstheme="majorBidi"/>
          <w:sz w:val="22"/>
        </w:rPr>
      </w:pPr>
    </w:p>
    <w:bookmarkEnd w:id="2"/>
    <w:p w14:paraId="338F379E" w14:textId="27DA68AC" w:rsidR="00B14080" w:rsidRDefault="009E3054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None</w:t>
      </w:r>
    </w:p>
    <w:p w14:paraId="18557A26" w14:textId="77777777" w:rsidR="00B14080" w:rsidRDefault="00B14080" w:rsidP="00B14080">
      <w:pPr>
        <w:pStyle w:val="ListParagraph"/>
        <w:widowControl w:val="0"/>
        <w:spacing w:line="218" w:lineRule="auto"/>
        <w:ind w:left="1440"/>
        <w:jc w:val="both"/>
        <w:rPr>
          <w:rFonts w:cs="Arial"/>
          <w:b/>
          <w:sz w:val="20"/>
        </w:rPr>
      </w:pPr>
    </w:p>
    <w:p w14:paraId="223BBDCD" w14:textId="77777777" w:rsidR="00B14080" w:rsidRDefault="00B14080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  <w:r w:rsidRPr="0003592F"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  <w:t>Water</w:t>
      </w:r>
    </w:p>
    <w:p w14:paraId="748BC56D" w14:textId="77777777" w:rsidR="000E7FB5" w:rsidRPr="0003592F" w:rsidRDefault="000E7FB5" w:rsidP="00B14080">
      <w:pPr>
        <w:keepNext/>
        <w:keepLines/>
        <w:spacing w:before="40"/>
        <w:ind w:firstLine="720"/>
        <w:outlineLvl w:val="1"/>
        <w:rPr>
          <w:rFonts w:ascii="Century Gothic" w:eastAsia="Calibri" w:hAnsi="Century Gothic" w:cstheme="majorBidi"/>
          <w:b/>
          <w:bCs/>
          <w:color w:val="365F91" w:themeColor="accent1" w:themeShade="BF"/>
          <w:sz w:val="22"/>
          <w:u w:val="single"/>
        </w:rPr>
      </w:pPr>
    </w:p>
    <w:p w14:paraId="2D6FA284" w14:textId="77777777" w:rsidR="000904D9" w:rsidRPr="00EE4F23" w:rsidRDefault="000904D9" w:rsidP="000904D9">
      <w:pPr>
        <w:pStyle w:val="ListParagraph"/>
        <w:numPr>
          <w:ilvl w:val="0"/>
          <w:numId w:val="6"/>
        </w:numPr>
        <w:ind w:left="1440"/>
        <w:jc w:val="both"/>
        <w:rPr>
          <w:rFonts w:eastAsia="Arial"/>
          <w:sz w:val="22"/>
        </w:rPr>
      </w:pPr>
      <w:bookmarkStart w:id="3" w:name="_Hlk152841780"/>
      <w:bookmarkStart w:id="4" w:name="_Hlk161127426"/>
      <w:r w:rsidRPr="00EE4F23">
        <w:rPr>
          <w:rFonts w:eastAsia="Arial"/>
          <w:b/>
          <w:bCs/>
          <w:color w:val="000000" w:themeColor="text1"/>
          <w:sz w:val="22"/>
        </w:rPr>
        <w:t>FLI Properties LLC</w:t>
      </w:r>
      <w:r w:rsidRPr="00EE4F23">
        <w:rPr>
          <w:rFonts w:eastAsia="Arial"/>
          <w:b/>
          <w:bCs/>
          <w:i/>
          <w:iCs/>
          <w:color w:val="000000" w:themeColor="text1"/>
          <w:sz w:val="22"/>
        </w:rPr>
        <w:t xml:space="preserve"> </w:t>
      </w:r>
      <w:r w:rsidRPr="00EE4F23">
        <w:rPr>
          <w:i/>
          <w:iCs/>
          <w:sz w:val="22"/>
        </w:rPr>
        <w:t xml:space="preserve">[WP-24-20] at 2143 Edgewood Avenue W.   </w:t>
      </w:r>
      <w:r w:rsidRPr="00EE4F23">
        <w:rPr>
          <w:rFonts w:eastAsia="Arial"/>
          <w:sz w:val="22"/>
        </w:rPr>
        <w:t>Discharge of untreated wastewater to the ground, surrounding environment and stormwater system; Failure to operate and maintain the System to remain operational; Failure to comply with Wastewater Collection/Transmission System design standards; Failure to perform required maintenance; and Failure to provide required records.</w:t>
      </w:r>
    </w:p>
    <w:p w14:paraId="2EBA7580" w14:textId="77777777" w:rsidR="000904D9" w:rsidRDefault="000904D9" w:rsidP="000904D9">
      <w:pPr>
        <w:rPr>
          <w:sz w:val="20"/>
          <w:szCs w:val="20"/>
        </w:rPr>
      </w:pPr>
    </w:p>
    <w:bookmarkEnd w:id="4"/>
    <w:p w14:paraId="423A7748" w14:textId="77777777" w:rsidR="000904D9" w:rsidRPr="00462CCE" w:rsidRDefault="000904D9" w:rsidP="000904D9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bCs/>
          <w:snapToGrid w:val="0"/>
          <w:sz w:val="18"/>
          <w:szCs w:val="18"/>
        </w:rPr>
        <w:id w:val="-35578569"/>
        <w:placeholder>
          <w:docPart w:val="ABF88B52CD6042AEAD5EB88E1BAB05D0"/>
        </w:placeholder>
      </w:sdtPr>
      <w:sdtEndPr>
        <w:rPr>
          <w:b w:val="0"/>
        </w:rPr>
      </w:sdtEndPr>
      <w:sdtContent>
        <w:p w14:paraId="57FEDF72" w14:textId="77777777" w:rsidR="000904D9" w:rsidRPr="00EE4F23" w:rsidRDefault="000904D9" w:rsidP="000904D9">
          <w:pPr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EE4F23">
            <w:rPr>
              <w:rFonts w:eastAsia="Times New Roman"/>
              <w:bCs/>
              <w:snapToGrid w:val="0"/>
              <w:sz w:val="18"/>
              <w:szCs w:val="18"/>
            </w:rPr>
            <w:t>No immediate action needed; pump station issues are addressed in the Consent Order.</w:t>
          </w:r>
        </w:p>
      </w:sdtContent>
    </w:sdt>
    <w:p w14:paraId="67CEED88" w14:textId="77777777" w:rsidR="000904D9" w:rsidRPr="00462CCE" w:rsidRDefault="000904D9" w:rsidP="000904D9">
      <w:pPr>
        <w:ind w:left="2160"/>
        <w:rPr>
          <w:bCs/>
          <w:sz w:val="18"/>
          <w:szCs w:val="18"/>
          <w:u w:val="single"/>
        </w:rPr>
      </w:pPr>
    </w:p>
    <w:p w14:paraId="087B6170" w14:textId="77777777" w:rsidR="000904D9" w:rsidRPr="00462CCE" w:rsidRDefault="000904D9" w:rsidP="000904D9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 xml:space="preserve">Consent Order settlement fee: </w:t>
      </w:r>
    </w:p>
    <w:p w14:paraId="0055AFCD" w14:textId="77777777" w:rsidR="000904D9" w:rsidRPr="00462CCE" w:rsidRDefault="000904D9" w:rsidP="000904D9">
      <w:pPr>
        <w:ind w:left="2160"/>
        <w:rPr>
          <w:b/>
          <w:sz w:val="18"/>
          <w:szCs w:val="18"/>
        </w:rPr>
      </w:pPr>
      <w:r w:rsidRPr="00462CCE">
        <w:rPr>
          <w:b/>
          <w:sz w:val="18"/>
          <w:szCs w:val="18"/>
        </w:rPr>
        <w:t>$2</w:t>
      </w:r>
      <w:r>
        <w:rPr>
          <w:b/>
          <w:sz w:val="18"/>
          <w:szCs w:val="18"/>
        </w:rPr>
        <w:t>,3</w:t>
      </w:r>
      <w:r w:rsidRPr="00462CCE">
        <w:rPr>
          <w:b/>
          <w:sz w:val="18"/>
          <w:szCs w:val="18"/>
        </w:rPr>
        <w:t>00</w:t>
      </w:r>
    </w:p>
    <w:p w14:paraId="72460218" w14:textId="77777777" w:rsidR="000904D9" w:rsidRDefault="000904D9" w:rsidP="000904D9">
      <w:pPr>
        <w:ind w:left="2160"/>
        <w:rPr>
          <w:bCs/>
          <w:sz w:val="18"/>
          <w:szCs w:val="18"/>
          <w:u w:val="single"/>
        </w:rPr>
      </w:pPr>
    </w:p>
    <w:p w14:paraId="53AF1E09" w14:textId="77777777" w:rsidR="000904D9" w:rsidRPr="00462CCE" w:rsidRDefault="000904D9" w:rsidP="000904D9">
      <w:pPr>
        <w:ind w:left="2160"/>
        <w:rPr>
          <w:bCs/>
          <w:sz w:val="18"/>
          <w:szCs w:val="18"/>
          <w:u w:val="single"/>
        </w:rPr>
      </w:pPr>
      <w:r w:rsidRPr="00462CCE">
        <w:rPr>
          <w:bCs/>
          <w:sz w:val="18"/>
          <w:szCs w:val="18"/>
          <w:u w:val="single"/>
        </w:rPr>
        <w:t>Consent Order requirements:</w:t>
      </w:r>
    </w:p>
    <w:p w14:paraId="00200F99" w14:textId="77777777" w:rsidR="000904D9" w:rsidRPr="00EE4F23" w:rsidRDefault="000904D9" w:rsidP="000904D9">
      <w:pPr>
        <w:pStyle w:val="ListParagraph"/>
        <w:numPr>
          <w:ilvl w:val="3"/>
          <w:numId w:val="6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EDUCATION CAMPAIGN:  Within 30 days </w:t>
      </w:r>
    </w:p>
    <w:p w14:paraId="69030944" w14:textId="77777777" w:rsidR="000904D9" w:rsidRPr="00EE4F23" w:rsidRDefault="000904D9" w:rsidP="000904D9">
      <w:pPr>
        <w:pStyle w:val="ListParagraph"/>
        <w:numPr>
          <w:ilvl w:val="3"/>
          <w:numId w:val="6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INITIAL ENGINEER REPORT:  Within 60 calendar days </w:t>
      </w:r>
    </w:p>
    <w:p w14:paraId="348767BF" w14:textId="77777777" w:rsidR="000904D9" w:rsidRPr="00EE4F23" w:rsidRDefault="000904D9" w:rsidP="000904D9">
      <w:pPr>
        <w:pStyle w:val="ListParagraph"/>
        <w:numPr>
          <w:ilvl w:val="3"/>
          <w:numId w:val="6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FINAL ENGINEER REPORT: Within 120 calendar days </w:t>
      </w:r>
    </w:p>
    <w:p w14:paraId="49A3DDC8" w14:textId="77777777" w:rsidR="000904D9" w:rsidRPr="00EE4F23" w:rsidRDefault="000904D9" w:rsidP="000904D9">
      <w:pPr>
        <w:pStyle w:val="ListParagraph"/>
        <w:numPr>
          <w:ilvl w:val="3"/>
          <w:numId w:val="6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 xml:space="preserve">MONTHLY STATUS REPORT upon the effective date </w:t>
      </w:r>
    </w:p>
    <w:p w14:paraId="2E8021DE" w14:textId="77777777" w:rsidR="000904D9" w:rsidRPr="00EE4F23" w:rsidRDefault="000904D9" w:rsidP="000904D9">
      <w:pPr>
        <w:pStyle w:val="ListParagraph"/>
        <w:numPr>
          <w:ilvl w:val="3"/>
          <w:numId w:val="6"/>
        </w:numPr>
        <w:rPr>
          <w:bCs/>
          <w:sz w:val="18"/>
          <w:szCs w:val="18"/>
        </w:rPr>
      </w:pPr>
      <w:r w:rsidRPr="00EE4F23">
        <w:rPr>
          <w:bCs/>
          <w:sz w:val="18"/>
          <w:szCs w:val="18"/>
        </w:rPr>
        <w:t>MONTHLY MAINTENANCE RECORDS upon the effective date</w:t>
      </w:r>
    </w:p>
    <w:p w14:paraId="049FFDD2" w14:textId="77777777" w:rsidR="000904D9" w:rsidRDefault="000904D9" w:rsidP="000904D9">
      <w:pPr>
        <w:ind w:left="2160"/>
        <w:rPr>
          <w:sz w:val="18"/>
          <w:szCs w:val="18"/>
        </w:rPr>
      </w:pPr>
    </w:p>
    <w:p w14:paraId="08D90F4C" w14:textId="77777777" w:rsidR="000904D9" w:rsidRDefault="000904D9" w:rsidP="000904D9">
      <w:pPr>
        <w:ind w:left="2160"/>
        <w:rPr>
          <w:sz w:val="18"/>
          <w:szCs w:val="18"/>
        </w:rPr>
      </w:pPr>
    </w:p>
    <w:p w14:paraId="67414DF5" w14:textId="77777777" w:rsidR="000904D9" w:rsidRPr="00BA5A28" w:rsidRDefault="000904D9" w:rsidP="000904D9">
      <w:pPr>
        <w:ind w:left="2160"/>
        <w:rPr>
          <w:sz w:val="18"/>
          <w:szCs w:val="18"/>
        </w:rPr>
      </w:pPr>
    </w:p>
    <w:p w14:paraId="0A2C9E52" w14:textId="77777777" w:rsidR="000904D9" w:rsidRPr="00841351" w:rsidRDefault="000904D9" w:rsidP="000904D9">
      <w:pPr>
        <w:pStyle w:val="ListParagraph"/>
        <w:numPr>
          <w:ilvl w:val="0"/>
          <w:numId w:val="9"/>
        </w:numPr>
        <w:spacing w:line="223" w:lineRule="auto"/>
        <w:ind w:left="1440"/>
        <w:rPr>
          <w:rFonts w:eastAsia="Calibri" w:cs="Arial"/>
          <w:kern w:val="2"/>
          <w:sz w:val="22"/>
          <w14:ligatures w14:val="standardContextual"/>
        </w:rPr>
      </w:pPr>
      <w:bookmarkStart w:id="5" w:name="_Hlk171407613"/>
      <w:r w:rsidRPr="003D59AB">
        <w:rPr>
          <w:b/>
          <w:bCs/>
          <w:sz w:val="22"/>
        </w:rPr>
        <w:lastRenderedPageBreak/>
        <w:t>Adley Luxe Poe LLC, BCC Construction, LLC, and Prospect Real Estate Group, LLC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[ESC-24-05] at 665 Starratt Road. </w:t>
      </w:r>
      <w:r w:rsidRPr="00B152D6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6CC25CBE" w14:textId="77777777" w:rsidR="000904D9" w:rsidRPr="00841351" w:rsidRDefault="000904D9" w:rsidP="000904D9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776CE4A0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Arial" w:cs="Arial"/>
          <w:b/>
          <w:bCs/>
          <w:sz w:val="18"/>
          <w:szCs w:val="18"/>
        </w:rPr>
        <w:id w:val="-657392992"/>
        <w:placeholder>
          <w:docPart w:val="A55483E42FBB40AFBBEE27C9F191B96E"/>
        </w:placeholder>
      </w:sdtPr>
      <w:sdtEndPr>
        <w:rPr>
          <w:b w:val="0"/>
        </w:rPr>
      </w:sdtEndPr>
      <w:sdtContent>
        <w:p w14:paraId="278BB4DA" w14:textId="77777777" w:rsidR="000904D9" w:rsidRPr="00EE4F23" w:rsidRDefault="000904D9" w:rsidP="000904D9">
          <w:pPr>
            <w:widowControl w:val="0"/>
            <w:ind w:left="2160"/>
            <w:jc w:val="both"/>
            <w:rPr>
              <w:rFonts w:eastAsia="Arial" w:cs="Arial"/>
              <w:bCs/>
              <w:sz w:val="18"/>
              <w:szCs w:val="18"/>
            </w:rPr>
          </w:pPr>
          <w:r w:rsidRPr="00EE4F23">
            <w:rPr>
              <w:rFonts w:eastAsia="Arial" w:cs="Arial"/>
              <w:bCs/>
              <w:sz w:val="18"/>
              <w:szCs w:val="18"/>
            </w:rPr>
            <w:t>No immediate action needed; pump station issues are addressed in the Consent Order.</w:t>
          </w:r>
        </w:p>
      </w:sdtContent>
    </w:sdt>
    <w:p w14:paraId="35A5EA3C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3917CDDF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6141C830" w14:textId="77777777" w:rsidR="000904D9" w:rsidRPr="00EE4F23" w:rsidRDefault="000904D9" w:rsidP="000904D9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75565F">
        <w:rPr>
          <w:rFonts w:eastAsia="Arial" w:cs="Arial"/>
          <w:b/>
          <w:sz w:val="18"/>
          <w:szCs w:val="18"/>
          <w:highlight w:val="yellow"/>
        </w:rPr>
        <w:t>$3,500</w:t>
      </w:r>
    </w:p>
    <w:p w14:paraId="33A9D405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1537A3F4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12997CD8" w14:textId="77777777" w:rsidR="000904D9" w:rsidRPr="00EE4F23" w:rsidRDefault="000904D9" w:rsidP="000904D9">
      <w:pPr>
        <w:pStyle w:val="ListParagraph"/>
        <w:widowControl w:val="0"/>
        <w:numPr>
          <w:ilvl w:val="3"/>
          <w:numId w:val="9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EDUCATION CAMPAIGN:  Within 30 days </w:t>
      </w:r>
    </w:p>
    <w:p w14:paraId="25571C99" w14:textId="77777777" w:rsidR="000904D9" w:rsidRPr="00EE4F23" w:rsidRDefault="000904D9" w:rsidP="000904D9">
      <w:pPr>
        <w:pStyle w:val="ListParagraph"/>
        <w:widowControl w:val="0"/>
        <w:numPr>
          <w:ilvl w:val="3"/>
          <w:numId w:val="9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INITIAL ENGINEER REPORT:  Within 60 calendar days </w:t>
      </w:r>
    </w:p>
    <w:p w14:paraId="19F0E0EB" w14:textId="77777777" w:rsidR="000904D9" w:rsidRPr="00EE4F23" w:rsidRDefault="000904D9" w:rsidP="000904D9">
      <w:pPr>
        <w:pStyle w:val="ListParagraph"/>
        <w:widowControl w:val="0"/>
        <w:numPr>
          <w:ilvl w:val="3"/>
          <w:numId w:val="9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FINAL ENGINEER REPORT: Within 120 calendar days </w:t>
      </w:r>
    </w:p>
    <w:p w14:paraId="48F147D9" w14:textId="77777777" w:rsidR="000904D9" w:rsidRPr="00EE4F23" w:rsidRDefault="000904D9" w:rsidP="000904D9">
      <w:pPr>
        <w:pStyle w:val="ListParagraph"/>
        <w:widowControl w:val="0"/>
        <w:numPr>
          <w:ilvl w:val="3"/>
          <w:numId w:val="9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 xml:space="preserve">MONTHLY STATUS REPORT upon the effective date </w:t>
      </w:r>
    </w:p>
    <w:p w14:paraId="6B5E3DAD" w14:textId="77777777" w:rsidR="000904D9" w:rsidRPr="00EE4F23" w:rsidRDefault="000904D9" w:rsidP="000904D9">
      <w:pPr>
        <w:pStyle w:val="ListParagraph"/>
        <w:widowControl w:val="0"/>
        <w:numPr>
          <w:ilvl w:val="3"/>
          <w:numId w:val="9"/>
        </w:numPr>
        <w:rPr>
          <w:rFonts w:eastAsia="Arial" w:cs="Arial"/>
          <w:bCs/>
          <w:sz w:val="18"/>
          <w:szCs w:val="18"/>
        </w:rPr>
      </w:pPr>
      <w:r w:rsidRPr="00EE4F23">
        <w:rPr>
          <w:rFonts w:eastAsia="Arial" w:cs="Arial"/>
          <w:bCs/>
          <w:sz w:val="18"/>
          <w:szCs w:val="18"/>
        </w:rPr>
        <w:t>MONTHLY MAINTENANCE RECORDS upon the effective date</w:t>
      </w:r>
    </w:p>
    <w:bookmarkEnd w:id="5"/>
    <w:p w14:paraId="1970FAA1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58F0F1F8" w14:textId="77777777" w:rsidR="000904D9" w:rsidRPr="00EE4F23" w:rsidRDefault="000904D9" w:rsidP="000904D9">
      <w:pPr>
        <w:pStyle w:val="ListParagraph"/>
        <w:numPr>
          <w:ilvl w:val="3"/>
          <w:numId w:val="9"/>
        </w:numPr>
        <w:ind w:left="1440"/>
        <w:rPr>
          <w:i/>
          <w:iCs/>
          <w:sz w:val="22"/>
        </w:rPr>
      </w:pPr>
      <w:r w:rsidRPr="00EE4F23">
        <w:rPr>
          <w:rFonts w:eastAsia="Times New Roman"/>
          <w:b/>
          <w:bCs/>
          <w:snapToGrid w:val="0"/>
          <w:sz w:val="22"/>
        </w:rPr>
        <w:t>Huntington Forest LLC, JWB Real Estate Capital, LLC, Atlantic Site &amp; Marine, Inc., and Avant Construction Group, Inc.</w:t>
      </w:r>
      <w:r w:rsidRPr="00EE4F23">
        <w:rPr>
          <w:rFonts w:eastAsia="Times New Roman"/>
          <w:snapToGrid w:val="0"/>
          <w:sz w:val="22"/>
        </w:rPr>
        <w:t xml:space="preserve"> </w:t>
      </w:r>
      <w:r w:rsidRPr="00EE4F23">
        <w:rPr>
          <w:sz w:val="22"/>
        </w:rPr>
        <w:t>[ESC-24-09] at 10109 and 0 Old St. Augustine Road. Discharge of non-stormwater to City municipal separate storm sewer system (“MS4”); Failure to comply with erosion and sediment control requirements.</w:t>
      </w:r>
      <w:r w:rsidRPr="00EE4F23">
        <w:rPr>
          <w:i/>
          <w:iCs/>
          <w:sz w:val="22"/>
        </w:rPr>
        <w:t xml:space="preserve"> </w:t>
      </w:r>
    </w:p>
    <w:p w14:paraId="2E7F9189" w14:textId="77777777" w:rsidR="000904D9" w:rsidRPr="00841351" w:rsidRDefault="000904D9" w:rsidP="000904D9">
      <w:pPr>
        <w:spacing w:line="223" w:lineRule="auto"/>
        <w:rPr>
          <w:rFonts w:eastAsia="Calibri" w:cs="Arial"/>
          <w:kern w:val="2"/>
          <w:sz w:val="22"/>
          <w14:ligatures w14:val="standardContextual"/>
        </w:rPr>
      </w:pPr>
    </w:p>
    <w:p w14:paraId="6EFEF175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bookmarkStart w:id="6" w:name="_Hlk171496135"/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snapToGrid w:val="0"/>
          <w:sz w:val="18"/>
          <w:szCs w:val="18"/>
        </w:rPr>
        <w:id w:val="234210761"/>
        <w:placeholder>
          <w:docPart w:val="90E10D70DBC648CE8084EB2DBD095DCE"/>
        </w:placeholder>
      </w:sdtPr>
      <w:sdtEndPr>
        <w:rPr>
          <w:b w:val="0"/>
          <w:bCs/>
        </w:rPr>
      </w:sdtEndPr>
      <w:sdtContent>
        <w:p w14:paraId="45821AA7" w14:textId="77777777" w:rsidR="000904D9" w:rsidRPr="00EE4F23" w:rsidRDefault="000904D9" w:rsidP="000904D9">
          <w:pPr>
            <w:widowControl w:val="0"/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EE4F23">
            <w:rPr>
              <w:rFonts w:eastAsia="Times New Roman"/>
              <w:bCs/>
              <w:snapToGrid w:val="0"/>
              <w:sz w:val="18"/>
              <w:szCs w:val="18"/>
            </w:rPr>
            <w:t xml:space="preserve">Conducted a complete site BMP assessment and completed the necessary maintenance, upgrades to eliminate any unpermitted discharges of non-stormwater issues. </w:t>
          </w:r>
        </w:p>
      </w:sdtContent>
    </w:sdt>
    <w:p w14:paraId="2B4549F7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1C3365A5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7ACF2768" w14:textId="77777777" w:rsidR="000904D9" w:rsidRPr="00EE4F23" w:rsidRDefault="000904D9" w:rsidP="000904D9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$2,300</w:t>
      </w:r>
    </w:p>
    <w:p w14:paraId="7827B105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25BF10EB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2DF8C3D7" w14:textId="77777777" w:rsidR="000904D9" w:rsidRPr="00EE4F23" w:rsidRDefault="000904D9" w:rsidP="000904D9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  <w:t>None</w:t>
      </w:r>
    </w:p>
    <w:bookmarkEnd w:id="6"/>
    <w:p w14:paraId="65FA1921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46A3022C" w14:textId="77777777" w:rsidR="000904D9" w:rsidRPr="00AE7BAF" w:rsidRDefault="000904D9" w:rsidP="000904D9">
      <w:pPr>
        <w:pStyle w:val="ListParagraph"/>
        <w:widowControl w:val="0"/>
        <w:numPr>
          <w:ilvl w:val="0"/>
          <w:numId w:val="10"/>
        </w:numPr>
        <w:ind w:left="1440"/>
        <w:rPr>
          <w:rFonts w:eastAsia="Times New Roman"/>
          <w:b/>
          <w:bCs/>
          <w:snapToGrid w:val="0"/>
          <w:sz w:val="22"/>
        </w:rPr>
      </w:pPr>
      <w:bookmarkStart w:id="7" w:name="_Hlk171494296"/>
      <w:bookmarkStart w:id="8" w:name="_Hlk171678555"/>
      <w:r w:rsidRPr="00AE7BAF">
        <w:rPr>
          <w:rFonts w:eastAsia="Times New Roman"/>
          <w:b/>
          <w:bCs/>
          <w:snapToGrid w:val="0"/>
          <w:sz w:val="22"/>
        </w:rPr>
        <w:t>Richard Neighbors</w:t>
      </w:r>
      <w:bookmarkEnd w:id="7"/>
      <w:r w:rsidRPr="00AE7BAF">
        <w:rPr>
          <w:rFonts w:eastAsia="Times New Roman"/>
          <w:b/>
          <w:bCs/>
          <w:snapToGrid w:val="0"/>
          <w:sz w:val="22"/>
        </w:rPr>
        <w:t xml:space="preserve"> </w:t>
      </w:r>
      <w:r w:rsidRPr="00AE7BAF">
        <w:rPr>
          <w:sz w:val="22"/>
        </w:rPr>
        <w:t>[ESC-24-13] at 0 103</w:t>
      </w:r>
      <w:r w:rsidRPr="00AE7BAF">
        <w:rPr>
          <w:sz w:val="22"/>
          <w:vertAlign w:val="superscript"/>
        </w:rPr>
        <w:t>rd</w:t>
      </w:r>
      <w:r w:rsidRPr="00AE7BAF">
        <w:rPr>
          <w:sz w:val="22"/>
        </w:rPr>
        <w:t xml:space="preserve"> Street. Discharge of non-stormwater to City municipal separate storm sewer system (“MS4”); Failure to comply with erosion and sediment control requirements.</w:t>
      </w:r>
    </w:p>
    <w:p w14:paraId="76971D22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1E45A8AD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18"/>
          <w:szCs w:val="18"/>
        </w:rPr>
        <w:id w:val="1994987414"/>
        <w:placeholder>
          <w:docPart w:val="0409FDE3414C44F4B20562195D0D8DDF"/>
        </w:placeholder>
      </w:sdtPr>
      <w:sdtContent>
        <w:p w14:paraId="7164AA1E" w14:textId="77777777" w:rsidR="000904D9" w:rsidRPr="00AE7BAF" w:rsidRDefault="000904D9" w:rsidP="000904D9">
          <w:pPr>
            <w:widowControl w:val="0"/>
            <w:ind w:left="2160"/>
            <w:jc w:val="both"/>
            <w:rPr>
              <w:rFonts w:eastAsia="Times New Roman"/>
              <w:bCs/>
              <w:snapToGrid w:val="0"/>
              <w:sz w:val="18"/>
              <w:szCs w:val="18"/>
              <w:u w:val="single"/>
            </w:rPr>
          </w:pPr>
          <w:r w:rsidRPr="00AE7BAF">
            <w:rPr>
              <w:rFonts w:eastAsia="Times New Roman"/>
              <w:bCs/>
              <w:snapToGrid w:val="0"/>
              <w:sz w:val="18"/>
              <w:szCs w:val="18"/>
            </w:rPr>
            <w:t>Conducted a complete site BMP assessment and completed the necessary maintenance, all erosion control measure will be inspected and replaced as necessary moving forward</w:t>
          </w:r>
        </w:p>
      </w:sdtContent>
    </w:sdt>
    <w:p w14:paraId="3DDF46B9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39A8EA91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203BA1D5" w14:textId="77777777" w:rsidR="000904D9" w:rsidRPr="00EE4F23" w:rsidRDefault="000904D9" w:rsidP="000904D9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</w:t>
      </w:r>
      <w:r>
        <w:rPr>
          <w:rFonts w:eastAsia="Arial" w:cs="Arial"/>
          <w:b/>
          <w:sz w:val="18"/>
          <w:szCs w:val="18"/>
        </w:rPr>
        <w:t>3,5</w:t>
      </w:r>
      <w:r w:rsidRPr="00EE4F23">
        <w:rPr>
          <w:rFonts w:eastAsia="Arial" w:cs="Arial"/>
          <w:b/>
          <w:sz w:val="18"/>
          <w:szCs w:val="18"/>
        </w:rPr>
        <w:t>00</w:t>
      </w:r>
    </w:p>
    <w:p w14:paraId="2ABC2419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0EC1A402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35BD9ACC" w14:textId="77777777" w:rsidR="000904D9" w:rsidRPr="00EE4F23" w:rsidRDefault="000904D9" w:rsidP="000904D9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>
        <w:rPr>
          <w:rFonts w:eastAsia="Times New Roman"/>
          <w:snapToGrid w:val="0"/>
          <w:sz w:val="18"/>
          <w:szCs w:val="18"/>
        </w:rPr>
        <w:t>Penalty only</w:t>
      </w:r>
    </w:p>
    <w:bookmarkEnd w:id="8"/>
    <w:p w14:paraId="45E8552F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6B3AC39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09EA4243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288A9C1F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2AA41419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55B6D4A5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389C16B5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63B7879E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591D16DF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7D18B414" w14:textId="77777777" w:rsidR="000904D9" w:rsidRPr="00BB5723" w:rsidRDefault="000904D9" w:rsidP="000904D9">
      <w:pPr>
        <w:pStyle w:val="ListParagraph"/>
        <w:widowControl w:val="0"/>
        <w:numPr>
          <w:ilvl w:val="0"/>
          <w:numId w:val="10"/>
        </w:numPr>
        <w:ind w:left="1440"/>
        <w:rPr>
          <w:rFonts w:eastAsia="Arial" w:cs="Arial"/>
          <w:sz w:val="22"/>
        </w:rPr>
      </w:pPr>
      <w:bookmarkStart w:id="9" w:name="_Hlk171670035"/>
      <w:proofErr w:type="spellStart"/>
      <w:r w:rsidRPr="00BB5723">
        <w:rPr>
          <w:rFonts w:eastAsia="Times New Roman" w:cs="Arial"/>
          <w:b/>
          <w:bCs/>
          <w:snapToGrid w:val="0"/>
          <w:sz w:val="22"/>
        </w:rPr>
        <w:lastRenderedPageBreak/>
        <w:t>Segavepo</w:t>
      </w:r>
      <w:proofErr w:type="spellEnd"/>
      <w:r w:rsidRPr="00BB5723">
        <w:rPr>
          <w:rFonts w:eastAsia="Times New Roman" w:cs="Arial"/>
          <w:b/>
          <w:bCs/>
          <w:snapToGrid w:val="0"/>
          <w:sz w:val="22"/>
        </w:rPr>
        <w:t xml:space="preserve"> </w:t>
      </w:r>
      <w:proofErr w:type="gramStart"/>
      <w:r w:rsidRPr="00BB5723">
        <w:rPr>
          <w:rFonts w:eastAsia="Times New Roman" w:cs="Arial"/>
          <w:b/>
          <w:bCs/>
          <w:snapToGrid w:val="0"/>
          <w:sz w:val="22"/>
        </w:rPr>
        <w:t>LLC</w:t>
      </w:r>
      <w:bookmarkEnd w:id="9"/>
      <w:r w:rsidRPr="00BB5723">
        <w:rPr>
          <w:rFonts w:eastAsia="Times New Roman" w:cs="Arial"/>
          <w:snapToGrid w:val="0"/>
          <w:sz w:val="22"/>
        </w:rPr>
        <w:t xml:space="preserve"> </w:t>
      </w:r>
      <w:r w:rsidRPr="00BB5723">
        <w:rPr>
          <w:rFonts w:eastAsia="Arial" w:cs="Arial"/>
          <w:b/>
          <w:bCs/>
          <w:i/>
          <w:iCs/>
          <w:color w:val="000000"/>
          <w:kern w:val="2"/>
          <w:sz w:val="22"/>
          <w14:ligatures w14:val="standardContextual"/>
        </w:rPr>
        <w:t xml:space="preserve"> </w:t>
      </w:r>
      <w:r w:rsidRPr="00BB5723">
        <w:rPr>
          <w:rFonts w:eastAsia="Calibri" w:cs="Arial"/>
          <w:i/>
          <w:iCs/>
          <w:kern w:val="2"/>
          <w:sz w:val="22"/>
          <w14:ligatures w14:val="standardContextual"/>
        </w:rPr>
        <w:t>[</w:t>
      </w:r>
      <w:proofErr w:type="gramEnd"/>
      <w:r w:rsidRPr="00BB5723">
        <w:rPr>
          <w:rFonts w:eastAsia="Calibri" w:cs="Arial"/>
          <w:i/>
          <w:iCs/>
          <w:kern w:val="2"/>
          <w:sz w:val="22"/>
          <w14:ligatures w14:val="standardContextual"/>
        </w:rPr>
        <w:t xml:space="preserve">WP-24-21] at 5319 Woodcrest Road.  </w:t>
      </w:r>
      <w:r w:rsidRPr="00BB5723">
        <w:rPr>
          <w:rFonts w:eastAsia="Arial" w:cs="Arial"/>
          <w:sz w:val="22"/>
        </w:rPr>
        <w:t>Discharge of untreated wastewater to the ground, surrounding environment and stormwater system; and Failure to notify EQD of Discharge from the System and Failure to provide required records.</w:t>
      </w:r>
    </w:p>
    <w:p w14:paraId="37C15276" w14:textId="77777777" w:rsidR="000904D9" w:rsidRDefault="000904D9" w:rsidP="000904D9">
      <w:pPr>
        <w:widowControl w:val="0"/>
        <w:rPr>
          <w:rFonts w:eastAsia="Times New Roman"/>
          <w:b/>
          <w:bCs/>
          <w:snapToGrid w:val="0"/>
          <w:sz w:val="22"/>
        </w:rPr>
      </w:pPr>
    </w:p>
    <w:p w14:paraId="0E8541A0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18"/>
          <w:szCs w:val="18"/>
        </w:rPr>
        <w:id w:val="-1640406831"/>
        <w:placeholder>
          <w:docPart w:val="DF9CB5CEBFDD4974BF550B866B2E71FC"/>
        </w:placeholder>
      </w:sdtPr>
      <w:sdtContent>
        <w:p w14:paraId="293358EA" w14:textId="77777777" w:rsidR="000904D9" w:rsidRPr="00AE7BAF" w:rsidRDefault="000904D9" w:rsidP="000904D9">
          <w:pPr>
            <w:widowControl w:val="0"/>
            <w:ind w:left="2160"/>
            <w:jc w:val="both"/>
            <w:rPr>
              <w:rFonts w:eastAsia="Times New Roman"/>
              <w:bCs/>
              <w:snapToGrid w:val="0"/>
              <w:sz w:val="18"/>
              <w:szCs w:val="18"/>
              <w:u w:val="single"/>
            </w:rPr>
          </w:pPr>
          <w:r>
            <w:rPr>
              <w:rFonts w:eastAsia="Times New Roman"/>
              <w:bCs/>
              <w:snapToGrid w:val="0"/>
              <w:sz w:val="18"/>
              <w:szCs w:val="18"/>
            </w:rPr>
            <w:t>Replace plumbing system</w:t>
          </w:r>
        </w:p>
      </w:sdtContent>
    </w:sdt>
    <w:p w14:paraId="31E6CEEB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</w:rPr>
      </w:pPr>
    </w:p>
    <w:p w14:paraId="7E9CD2E7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 xml:space="preserve">Consent Order settlement fee: </w:t>
      </w:r>
    </w:p>
    <w:p w14:paraId="6153D756" w14:textId="77777777" w:rsidR="000904D9" w:rsidRPr="00EE4F23" w:rsidRDefault="000904D9" w:rsidP="000904D9">
      <w:pPr>
        <w:widowControl w:val="0"/>
        <w:ind w:left="2160"/>
        <w:jc w:val="both"/>
        <w:rPr>
          <w:rFonts w:eastAsia="Arial" w:cs="Arial"/>
          <w:b/>
          <w:sz w:val="18"/>
          <w:szCs w:val="18"/>
        </w:rPr>
      </w:pPr>
      <w:r w:rsidRPr="00EE4F23">
        <w:rPr>
          <w:rFonts w:eastAsia="Arial" w:cs="Arial"/>
          <w:b/>
          <w:sz w:val="18"/>
          <w:szCs w:val="18"/>
        </w:rPr>
        <w:t>$</w:t>
      </w:r>
      <w:r>
        <w:rPr>
          <w:rFonts w:eastAsia="Arial" w:cs="Arial"/>
          <w:b/>
          <w:sz w:val="18"/>
          <w:szCs w:val="18"/>
        </w:rPr>
        <w:t>1,000</w:t>
      </w:r>
    </w:p>
    <w:p w14:paraId="6878DBFA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</w:p>
    <w:p w14:paraId="7F9BE892" w14:textId="77777777" w:rsidR="000904D9" w:rsidRPr="00841351" w:rsidRDefault="000904D9" w:rsidP="000904D9">
      <w:pPr>
        <w:widowControl w:val="0"/>
        <w:ind w:left="2160"/>
        <w:jc w:val="both"/>
        <w:rPr>
          <w:rFonts w:eastAsia="Arial" w:cs="Arial"/>
          <w:bCs/>
          <w:sz w:val="18"/>
          <w:szCs w:val="18"/>
          <w:u w:val="single"/>
        </w:rPr>
      </w:pPr>
      <w:r w:rsidRPr="00841351">
        <w:rPr>
          <w:rFonts w:eastAsia="Arial" w:cs="Arial"/>
          <w:bCs/>
          <w:sz w:val="18"/>
          <w:szCs w:val="18"/>
          <w:u w:val="single"/>
        </w:rPr>
        <w:t>Consent Order requirements:</w:t>
      </w:r>
    </w:p>
    <w:p w14:paraId="1B3638AE" w14:textId="77777777" w:rsidR="000904D9" w:rsidRPr="00EE4F23" w:rsidRDefault="000904D9" w:rsidP="000904D9">
      <w:pPr>
        <w:widowControl w:val="0"/>
        <w:rPr>
          <w:rFonts w:eastAsia="Times New Roman"/>
          <w:snapToGrid w:val="0"/>
          <w:sz w:val="18"/>
          <w:szCs w:val="18"/>
        </w:rPr>
      </w:pP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 w:rsidRPr="00EE4F23">
        <w:rPr>
          <w:rFonts w:eastAsia="Times New Roman"/>
          <w:snapToGrid w:val="0"/>
          <w:sz w:val="18"/>
          <w:szCs w:val="18"/>
        </w:rPr>
        <w:tab/>
      </w:r>
      <w:r>
        <w:rPr>
          <w:rFonts w:eastAsia="Times New Roman"/>
          <w:snapToGrid w:val="0"/>
          <w:sz w:val="18"/>
          <w:szCs w:val="18"/>
        </w:rPr>
        <w:t>Penalty only</w:t>
      </w:r>
    </w:p>
    <w:p w14:paraId="1B32E017" w14:textId="77777777" w:rsidR="009E3054" w:rsidRDefault="009E3054" w:rsidP="009E3054">
      <w:pPr>
        <w:ind w:left="2160"/>
        <w:rPr>
          <w:sz w:val="18"/>
          <w:szCs w:val="18"/>
        </w:rPr>
      </w:pPr>
    </w:p>
    <w:p w14:paraId="09CB8533" w14:textId="77777777" w:rsidR="009E3054" w:rsidRDefault="009E3054" w:rsidP="009E3054">
      <w:pPr>
        <w:ind w:left="2160"/>
        <w:rPr>
          <w:sz w:val="18"/>
          <w:szCs w:val="18"/>
        </w:rPr>
      </w:pPr>
    </w:p>
    <w:p w14:paraId="459B79C9" w14:textId="6557A343" w:rsidR="009E3054" w:rsidRPr="00133232" w:rsidRDefault="009E3054" w:rsidP="009E3054">
      <w:pPr>
        <w:rPr>
          <w:rFonts w:eastAsia="Times New Roman" w:cs="Arial"/>
          <w:bCs/>
          <w:snapToGrid w:val="0"/>
          <w:szCs w:val="24"/>
        </w:rPr>
      </w:pPr>
      <w:r w:rsidRPr="00133232">
        <w:rPr>
          <w:rFonts w:eastAsia="Times New Roman" w:cs="Arial"/>
          <w:bCs/>
          <w:snapToGrid w:val="0"/>
          <w:szCs w:val="24"/>
        </w:rPr>
        <w:t>A motion was made to approve</w:t>
      </w:r>
      <w:r>
        <w:rPr>
          <w:rFonts w:eastAsia="Times New Roman" w:cs="Arial"/>
          <w:bCs/>
          <w:snapToGrid w:val="0"/>
          <w:szCs w:val="24"/>
        </w:rPr>
        <w:t xml:space="preserve"> </w:t>
      </w:r>
      <w:r w:rsidRPr="00133232">
        <w:rPr>
          <w:rFonts w:eastAsia="Times New Roman" w:cs="Arial"/>
          <w:bCs/>
          <w:snapToGrid w:val="0"/>
          <w:szCs w:val="24"/>
        </w:rPr>
        <w:t>the consent order</w:t>
      </w:r>
      <w:r w:rsidR="000904D9">
        <w:rPr>
          <w:rFonts w:eastAsia="Times New Roman" w:cs="Arial"/>
          <w:bCs/>
          <w:snapToGrid w:val="0"/>
          <w:szCs w:val="24"/>
        </w:rPr>
        <w:t>s</w:t>
      </w:r>
      <w:r w:rsidRPr="00133232">
        <w:rPr>
          <w:rFonts w:eastAsia="Times New Roman" w:cs="Arial"/>
          <w:bCs/>
          <w:snapToGrid w:val="0"/>
          <w:szCs w:val="24"/>
        </w:rPr>
        <w:t xml:space="preserve"> as presented (</w:t>
      </w:r>
      <w:r w:rsidR="000904D9">
        <w:rPr>
          <w:rFonts w:eastAsia="Times New Roman" w:cs="Arial"/>
          <w:bCs/>
          <w:snapToGrid w:val="0"/>
          <w:szCs w:val="24"/>
        </w:rPr>
        <w:t>Simon</w:t>
      </w:r>
      <w:r w:rsidRPr="00133232">
        <w:rPr>
          <w:rFonts w:eastAsia="Times New Roman" w:cs="Arial"/>
          <w:bCs/>
          <w:snapToGrid w:val="0"/>
          <w:szCs w:val="24"/>
        </w:rPr>
        <w:t>), properly seconded (</w:t>
      </w:r>
      <w:r w:rsidR="000904D9">
        <w:rPr>
          <w:rFonts w:eastAsia="Times New Roman" w:cs="Arial"/>
          <w:bCs/>
          <w:snapToGrid w:val="0"/>
          <w:szCs w:val="24"/>
        </w:rPr>
        <w:t>Noble</w:t>
      </w:r>
      <w:r w:rsidRPr="00133232">
        <w:rPr>
          <w:rFonts w:eastAsia="Times New Roman" w:cs="Arial"/>
          <w:bCs/>
          <w:snapToGrid w:val="0"/>
          <w:szCs w:val="24"/>
        </w:rPr>
        <w:t>) and approved by the body.</w:t>
      </w:r>
    </w:p>
    <w:p w14:paraId="4FE3C659" w14:textId="77777777" w:rsidR="009E3054" w:rsidRDefault="009E3054" w:rsidP="009E3054">
      <w:pPr>
        <w:ind w:left="2160"/>
        <w:rPr>
          <w:sz w:val="18"/>
          <w:szCs w:val="18"/>
        </w:rPr>
      </w:pPr>
    </w:p>
    <w:p w14:paraId="753C89CA" w14:textId="77777777" w:rsidR="009E3054" w:rsidRDefault="009E3054" w:rsidP="009E3054">
      <w:pPr>
        <w:ind w:left="2160"/>
        <w:rPr>
          <w:sz w:val="18"/>
          <w:szCs w:val="18"/>
        </w:rPr>
      </w:pPr>
    </w:p>
    <w:bookmarkEnd w:id="3"/>
    <w:p w14:paraId="7DFB4EF4" w14:textId="67217349" w:rsidR="00B14080" w:rsidRPr="009F0BBC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NFORCEMENT REPORT </w:t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="002F7F2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MELISSA LONG</w:t>
      </w:r>
    </w:p>
    <w:p w14:paraId="2D10E366" w14:textId="16E4B998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There were no questions or concerns.</w:t>
      </w:r>
    </w:p>
    <w:p w14:paraId="7BF08429" w14:textId="77777777" w:rsidR="00B14080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</w:p>
    <w:p w14:paraId="550B1D5E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NEW BUSINESS</w:t>
      </w:r>
    </w:p>
    <w:p w14:paraId="26727E62" w14:textId="1EE7B947" w:rsidR="00B14080" w:rsidRDefault="00B14080" w:rsidP="00B14080">
      <w:pPr>
        <w:numPr>
          <w:ilvl w:val="1"/>
          <w:numId w:val="5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Noise Variance Request – </w:t>
      </w:r>
      <w:r w:rsidR="002F7F2D">
        <w:rPr>
          <w:rFonts w:ascii="Century Gothic" w:hAnsi="Century Gothic"/>
          <w:sz w:val="22"/>
        </w:rPr>
        <w:t>Auld &amp; White</w:t>
      </w:r>
    </w:p>
    <w:p w14:paraId="42991CA5" w14:textId="77777777" w:rsidR="00B14080" w:rsidRDefault="00B14080" w:rsidP="00B14080">
      <w:pPr>
        <w:rPr>
          <w:rFonts w:ascii="Century Gothic" w:hAnsi="Century Gothic"/>
          <w:sz w:val="22"/>
        </w:rPr>
      </w:pPr>
      <w:bookmarkStart w:id="10" w:name="_Hlk150512030"/>
    </w:p>
    <w:p w14:paraId="7492CF9F" w14:textId="036BF1B7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Mr. Richardson shared that the required public notice was made.  </w:t>
      </w:r>
      <w:r w:rsidR="002F7F2D">
        <w:rPr>
          <w:rFonts w:ascii="Century Gothic" w:hAnsi="Century Gothic"/>
          <w:sz w:val="22"/>
        </w:rPr>
        <w:t>Adam Herron</w:t>
      </w:r>
      <w:r w:rsidR="00EE2BB6">
        <w:rPr>
          <w:rFonts w:ascii="Century Gothic" w:hAnsi="Century Gothic"/>
          <w:sz w:val="22"/>
        </w:rPr>
        <w:t xml:space="preserve">, </w:t>
      </w:r>
      <w:r w:rsidR="002F7F2D">
        <w:rPr>
          <w:rFonts w:ascii="Century Gothic" w:hAnsi="Century Gothic"/>
          <w:sz w:val="22"/>
        </w:rPr>
        <w:t xml:space="preserve">Auld &amp; White, </w:t>
      </w:r>
      <w:r>
        <w:rPr>
          <w:rFonts w:ascii="Century Gothic" w:hAnsi="Century Gothic"/>
          <w:sz w:val="22"/>
        </w:rPr>
        <w:t>then shared a presentation on the project and why the variance was being sought.  Mike Williams, EQD Air Branch, then shared a presentation on his technical review of the application and his recommendation to approve the variance with conditions.</w:t>
      </w:r>
    </w:p>
    <w:p w14:paraId="3F33F4FB" w14:textId="77777777" w:rsidR="00B14080" w:rsidRDefault="00B14080" w:rsidP="00B14080">
      <w:pPr>
        <w:rPr>
          <w:rFonts w:ascii="Century Gothic" w:hAnsi="Century Gothic"/>
          <w:sz w:val="22"/>
        </w:rPr>
      </w:pPr>
    </w:p>
    <w:p w14:paraId="5FF28FA6" w14:textId="69A412EC" w:rsidR="00B14080" w:rsidRDefault="00B14080" w:rsidP="00B14080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 motion was made to approve the variance with the conditions recommended by staff (</w:t>
      </w:r>
      <w:r w:rsidR="002F7F2D">
        <w:rPr>
          <w:rFonts w:ascii="Century Gothic" w:hAnsi="Century Gothic"/>
          <w:sz w:val="22"/>
        </w:rPr>
        <w:t>Gellers</w:t>
      </w:r>
      <w:r>
        <w:rPr>
          <w:rFonts w:ascii="Century Gothic" w:hAnsi="Century Gothic"/>
          <w:sz w:val="22"/>
        </w:rPr>
        <w:t>) and properly seconded (</w:t>
      </w:r>
      <w:r w:rsidR="002F7F2D">
        <w:rPr>
          <w:rFonts w:ascii="Century Gothic" w:hAnsi="Century Gothic"/>
          <w:sz w:val="22"/>
        </w:rPr>
        <w:t>Noble</w:t>
      </w:r>
      <w:r>
        <w:rPr>
          <w:rFonts w:ascii="Century Gothic" w:hAnsi="Century Gothic"/>
          <w:sz w:val="22"/>
        </w:rPr>
        <w:t>).</w:t>
      </w:r>
    </w:p>
    <w:p w14:paraId="777DC6FE" w14:textId="77777777" w:rsidR="00B14080" w:rsidRDefault="00B14080" w:rsidP="00B14080">
      <w:pPr>
        <w:rPr>
          <w:rFonts w:ascii="Century Gothic" w:hAnsi="Century Gothic"/>
          <w:sz w:val="22"/>
        </w:rPr>
      </w:pPr>
    </w:p>
    <w:bookmarkEnd w:id="10"/>
    <w:p w14:paraId="64CADF32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9F0BBC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PRESENTATION(s)</w:t>
      </w:r>
      <w:bookmarkStart w:id="11" w:name="_Hlk92377225"/>
    </w:p>
    <w:p w14:paraId="55E15E73" w14:textId="77777777" w:rsidR="00B14080" w:rsidRPr="00133232" w:rsidRDefault="00B14080" w:rsidP="00B14080">
      <w:pPr>
        <w:keepNext/>
        <w:keepLines/>
        <w:spacing w:before="40"/>
        <w:outlineLvl w:val="1"/>
        <w:rPr>
          <w:rFonts w:eastAsiaTheme="majorEastAsia" w:cs="Arial"/>
          <w:szCs w:val="24"/>
        </w:rPr>
      </w:pPr>
      <w:r>
        <w:rPr>
          <w:rFonts w:eastAsiaTheme="majorEastAsia" w:cs="Arial"/>
          <w:szCs w:val="24"/>
        </w:rPr>
        <w:t>None</w:t>
      </w:r>
    </w:p>
    <w:bookmarkEnd w:id="11"/>
    <w:p w14:paraId="41F14116" w14:textId="77777777" w:rsidR="00B14080" w:rsidRPr="00EF6F8F" w:rsidRDefault="00B14080" w:rsidP="00B14080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5AC4A1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PUBLIC HEARING(s)</w:t>
      </w:r>
    </w:p>
    <w:p w14:paraId="6FA128A9" w14:textId="168BBBC2" w:rsidR="00E8229C" w:rsidRPr="00E8229C" w:rsidRDefault="002F7F2D" w:rsidP="00E8229C">
      <w:pPr>
        <w:keepNext/>
        <w:keepLines/>
        <w:spacing w:before="40"/>
        <w:outlineLvl w:val="1"/>
        <w:rPr>
          <w:rFonts w:ascii="Century Gothic" w:eastAsiaTheme="majorEastAsia" w:hAnsi="Century Gothic" w:cs="Arial"/>
          <w:sz w:val="22"/>
        </w:rPr>
      </w:pPr>
      <w:bookmarkStart w:id="12" w:name="_Hlk120015197"/>
      <w:r>
        <w:rPr>
          <w:rFonts w:ascii="Century Gothic" w:eastAsiaTheme="majorEastAsia" w:hAnsi="Century Gothic" w:cs="Arial"/>
          <w:sz w:val="22"/>
        </w:rPr>
        <w:t>None</w:t>
      </w:r>
    </w:p>
    <w:bookmarkEnd w:id="12"/>
    <w:p w14:paraId="1273B47E" w14:textId="77777777" w:rsidR="00B14080" w:rsidRPr="00937E1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14:paraId="7BDFF6A0" w14:textId="77777777" w:rsidR="00B14080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13" w:name="_Hlk120015261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OLD</w:t>
      </w: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BUSINESS</w:t>
      </w:r>
    </w:p>
    <w:p w14:paraId="5A054272" w14:textId="6CF0E1E9" w:rsidR="00B14080" w:rsidRDefault="002F7F2D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None</w:t>
      </w:r>
    </w:p>
    <w:p w14:paraId="567DC25B" w14:textId="77777777" w:rsidR="002F7F2D" w:rsidRDefault="002F7F2D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bookmarkEnd w:id="13"/>
    <w:p w14:paraId="16D30607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70526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COMMISSION &amp; JEPB COMMITTEE UPDATES</w:t>
      </w:r>
    </w:p>
    <w:p w14:paraId="389B02A0" w14:textId="6B019802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Waterways Commission</w:t>
      </w:r>
      <w:r w:rsidRPr="00B06508">
        <w:rPr>
          <w:sz w:val="22"/>
        </w:rPr>
        <w:t xml:space="preserve"> – </w:t>
      </w:r>
      <w:r w:rsidR="002F7F2D">
        <w:rPr>
          <w:sz w:val="22"/>
        </w:rPr>
        <w:t>No report.</w:t>
      </w:r>
    </w:p>
    <w:p w14:paraId="2DC083ED" w14:textId="6A6D2634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t>KJB Commission</w:t>
      </w:r>
      <w:r w:rsidRPr="00B06508">
        <w:rPr>
          <w:sz w:val="22"/>
        </w:rPr>
        <w:t xml:space="preserve"> – </w:t>
      </w:r>
      <w:r w:rsidR="00E8229C">
        <w:rPr>
          <w:sz w:val="22"/>
        </w:rPr>
        <w:t xml:space="preserve">Chief Long shared that the </w:t>
      </w:r>
      <w:r w:rsidR="002F7F2D">
        <w:rPr>
          <w:sz w:val="22"/>
        </w:rPr>
        <w:t>Commission will be holding a retreat in August and that the International Coastal Cleanup will be held in September.</w:t>
      </w:r>
    </w:p>
    <w:p w14:paraId="4D91DFBB" w14:textId="77777777" w:rsidR="00B14080" w:rsidRPr="00B06508" w:rsidRDefault="00B14080" w:rsidP="00B14080">
      <w:pPr>
        <w:numPr>
          <w:ilvl w:val="0"/>
          <w:numId w:val="3"/>
        </w:numPr>
        <w:ind w:left="720" w:hanging="360"/>
        <w:contextualSpacing/>
        <w:rPr>
          <w:sz w:val="22"/>
        </w:rPr>
      </w:pPr>
      <w:r w:rsidRPr="00B06508">
        <w:rPr>
          <w:b/>
          <w:bCs/>
          <w:sz w:val="22"/>
        </w:rPr>
        <w:lastRenderedPageBreak/>
        <w:t>JEPB Water Committee</w:t>
      </w:r>
      <w:r w:rsidRPr="00B06508">
        <w:rPr>
          <w:sz w:val="22"/>
        </w:rPr>
        <w:t xml:space="preserve"> –</w:t>
      </w:r>
      <w:r>
        <w:rPr>
          <w:sz w:val="22"/>
        </w:rPr>
        <w:t xml:space="preserve"> Mr. Carr discussed information from the Water Branch report and responded to member questions.  </w:t>
      </w:r>
    </w:p>
    <w:p w14:paraId="7040F175" w14:textId="77777777" w:rsidR="00B14080" w:rsidRPr="002E78B8" w:rsidRDefault="00B14080" w:rsidP="00B14080">
      <w:pPr>
        <w:numPr>
          <w:ilvl w:val="0"/>
          <w:numId w:val="3"/>
        </w:numPr>
        <w:ind w:left="720" w:hanging="360"/>
        <w:contextualSpacing/>
      </w:pPr>
      <w:r w:rsidRPr="006D2247">
        <w:rPr>
          <w:b/>
          <w:bCs/>
          <w:sz w:val="22"/>
        </w:rPr>
        <w:t>JEPB Air Committee</w:t>
      </w:r>
      <w:r w:rsidRPr="006D2247">
        <w:rPr>
          <w:sz w:val="22"/>
        </w:rPr>
        <w:t xml:space="preserve"> – </w:t>
      </w:r>
      <w:r>
        <w:rPr>
          <w:sz w:val="22"/>
        </w:rPr>
        <w:t>Mr. Williams discussed information from the Air Branch report and responded to member questions.</w:t>
      </w:r>
    </w:p>
    <w:p w14:paraId="010D503F" w14:textId="77777777" w:rsidR="002E78B8" w:rsidRDefault="002E78B8" w:rsidP="002E78B8">
      <w:pPr>
        <w:ind w:left="720"/>
        <w:contextualSpacing/>
        <w:rPr>
          <w:b/>
          <w:bCs/>
          <w:sz w:val="22"/>
        </w:rPr>
      </w:pPr>
    </w:p>
    <w:p w14:paraId="15436B77" w14:textId="77777777" w:rsidR="002E78B8" w:rsidRPr="006D2247" w:rsidRDefault="002E78B8" w:rsidP="002E78B8">
      <w:pPr>
        <w:ind w:left="720"/>
        <w:contextualSpacing/>
      </w:pPr>
    </w:p>
    <w:p w14:paraId="067BFE42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EPB ADMINISTRATOR REPORT </w:t>
      </w:r>
    </w:p>
    <w:p w14:paraId="5DD5DB0E" w14:textId="660EDB73" w:rsidR="00B14080" w:rsidRPr="00C94450" w:rsidRDefault="00B14080" w:rsidP="00B14080">
      <w:pPr>
        <w:rPr>
          <w:szCs w:val="24"/>
        </w:rPr>
      </w:pPr>
      <w:r>
        <w:rPr>
          <w:szCs w:val="24"/>
        </w:rPr>
        <w:t xml:space="preserve">Mr. Richardson shared </w:t>
      </w:r>
      <w:r w:rsidR="00836CBE">
        <w:rPr>
          <w:szCs w:val="24"/>
        </w:rPr>
        <w:t xml:space="preserve">JEPB committees would </w:t>
      </w:r>
      <w:r w:rsidR="002F7F2D">
        <w:rPr>
          <w:szCs w:val="24"/>
        </w:rPr>
        <w:t xml:space="preserve">next </w:t>
      </w:r>
      <w:r w:rsidR="00836CBE">
        <w:rPr>
          <w:szCs w:val="24"/>
        </w:rPr>
        <w:t xml:space="preserve">meet </w:t>
      </w:r>
      <w:r w:rsidR="002F7F2D">
        <w:rPr>
          <w:szCs w:val="24"/>
        </w:rPr>
        <w:t>in September</w:t>
      </w:r>
      <w:r w:rsidR="00836CBE">
        <w:rPr>
          <w:szCs w:val="24"/>
        </w:rPr>
        <w:t xml:space="preserve">, </w:t>
      </w:r>
      <w:r>
        <w:rPr>
          <w:szCs w:val="24"/>
        </w:rPr>
        <w:t xml:space="preserve">that </w:t>
      </w:r>
      <w:r w:rsidR="002F7F2D">
        <w:rPr>
          <w:szCs w:val="24"/>
        </w:rPr>
        <w:t xml:space="preserve">the JEPB environmental award nomination period is now </w:t>
      </w:r>
      <w:proofErr w:type="gramStart"/>
      <w:r w:rsidR="002F7F2D">
        <w:rPr>
          <w:szCs w:val="24"/>
        </w:rPr>
        <w:t>open, and</w:t>
      </w:r>
      <w:proofErr w:type="gramEnd"/>
      <w:r w:rsidR="002F7F2D">
        <w:rPr>
          <w:szCs w:val="24"/>
        </w:rPr>
        <w:t xml:space="preserve"> encouraged members to begin thinking of possible topics for a first quarter retreat.</w:t>
      </w:r>
    </w:p>
    <w:p w14:paraId="704180F3" w14:textId="77777777" w:rsidR="00B14080" w:rsidRDefault="00B14080" w:rsidP="00B14080">
      <w:pPr>
        <w:rPr>
          <w:sz w:val="22"/>
        </w:rPr>
      </w:pPr>
    </w:p>
    <w:p w14:paraId="1BFCD474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ENVIRONMENTAL QUALITY DIVISION REPORT</w:t>
      </w:r>
    </w:p>
    <w:p w14:paraId="4D6F2874" w14:textId="59F8572C" w:rsidR="00B14080" w:rsidRPr="00C94450" w:rsidRDefault="00836CBE" w:rsidP="00B14080">
      <w:pPr>
        <w:rPr>
          <w:szCs w:val="24"/>
        </w:rPr>
      </w:pPr>
      <w:r>
        <w:rPr>
          <w:szCs w:val="24"/>
        </w:rPr>
        <w:t xml:space="preserve">Chief Long shared that </w:t>
      </w:r>
      <w:r w:rsidR="002F7F2D">
        <w:rPr>
          <w:szCs w:val="24"/>
        </w:rPr>
        <w:t xml:space="preserve">the </w:t>
      </w:r>
      <w:proofErr w:type="gramStart"/>
      <w:r w:rsidR="002F7F2D">
        <w:rPr>
          <w:szCs w:val="24"/>
        </w:rPr>
        <w:t>Mayor’s</w:t>
      </w:r>
      <w:proofErr w:type="gramEnd"/>
      <w:r w:rsidR="002F7F2D">
        <w:rPr>
          <w:szCs w:val="24"/>
        </w:rPr>
        <w:t xml:space="preserve"> budget has been submitted and that there were no changes proposed for the division</w:t>
      </w:r>
      <w:r>
        <w:rPr>
          <w:szCs w:val="24"/>
        </w:rPr>
        <w:t xml:space="preserve"> and that the Division was still having issues with vacancies and retention</w:t>
      </w:r>
      <w:r w:rsidR="002F7F2D">
        <w:rPr>
          <w:szCs w:val="24"/>
        </w:rPr>
        <w:t>, especially in the Petroleum Branch.</w:t>
      </w:r>
    </w:p>
    <w:p w14:paraId="3C6FBA77" w14:textId="77777777" w:rsidR="00B14080" w:rsidRDefault="00B14080" w:rsidP="00B14080">
      <w:pPr>
        <w:rPr>
          <w:sz w:val="22"/>
        </w:rPr>
      </w:pPr>
    </w:p>
    <w:p w14:paraId="25513648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ITEMS REFERRED TO COMMITTEES</w:t>
      </w:r>
    </w:p>
    <w:p w14:paraId="379C33D6" w14:textId="77777777" w:rsidR="00B14080" w:rsidRPr="00B06508" w:rsidRDefault="00B14080" w:rsidP="00B14080">
      <w:pPr>
        <w:contextualSpacing/>
      </w:pPr>
      <w:r>
        <w:t>None</w:t>
      </w:r>
    </w:p>
    <w:p w14:paraId="7E7D5DBF" w14:textId="77777777" w:rsidR="00B14080" w:rsidRDefault="00B14080" w:rsidP="00B14080">
      <w:pPr>
        <w:rPr>
          <w:sz w:val="22"/>
        </w:rPr>
      </w:pPr>
    </w:p>
    <w:p w14:paraId="2A8273C1" w14:textId="77777777" w:rsidR="00B14080" w:rsidRPr="00B06508" w:rsidRDefault="00B14080" w:rsidP="00B14080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B06508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NEXT SCHEDULED BOARD MEETING(s) </w:t>
      </w:r>
    </w:p>
    <w:p w14:paraId="18836AAD" w14:textId="22634ACE" w:rsidR="00836CBE" w:rsidRPr="00BD22ED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2F7F2D">
        <w:rPr>
          <w:rFonts w:ascii="Century Gothic" w:hAnsi="Century Gothic" w:cs="Century Gothic"/>
          <w:sz w:val="22"/>
        </w:rPr>
        <w:t>August 12</w:t>
      </w:r>
      <w:r>
        <w:rPr>
          <w:rFonts w:ascii="Century Gothic" w:hAnsi="Century Gothic" w:cs="Century Gothic"/>
          <w:sz w:val="22"/>
        </w:rPr>
        <w:t>, 2024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04A0343C" w14:textId="1D134CE5" w:rsidR="00836CBE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>
        <w:rPr>
          <w:rFonts w:ascii="Century Gothic" w:hAnsi="Century Gothic" w:cs="Century Gothic"/>
          <w:sz w:val="22"/>
        </w:rPr>
        <w:t xml:space="preserve">Monday, </w:t>
      </w:r>
      <w:r w:rsidR="002F7F2D">
        <w:rPr>
          <w:rFonts w:ascii="Century Gothic" w:hAnsi="Century Gothic" w:cs="Century Gothic"/>
          <w:sz w:val="22"/>
        </w:rPr>
        <w:t>August 19</w:t>
      </w:r>
      <w:r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1009CEB" w14:textId="77777777" w:rsidR="00836CBE" w:rsidRDefault="00836CBE" w:rsidP="00836CBE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5F90A2E9" w14:textId="342AA3B0" w:rsidR="00836CBE" w:rsidRPr="00F53364" w:rsidRDefault="00836CBE" w:rsidP="00836CBE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Air Committee – </w:t>
      </w:r>
      <w:r w:rsidR="002F7F2D">
        <w:rPr>
          <w:rFonts w:ascii="Century Gothic" w:hAnsi="Century Gothic" w:cs="Century Gothic"/>
          <w:sz w:val="22"/>
        </w:rPr>
        <w:t xml:space="preserve">September </w:t>
      </w:r>
    </w:p>
    <w:p w14:paraId="4AC69FAF" w14:textId="20A6B043" w:rsidR="00836CBE" w:rsidRDefault="00836CBE" w:rsidP="00836CBE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 xml:space="preserve">JEPB Water Committee – </w:t>
      </w:r>
      <w:r w:rsidR="005374AE">
        <w:rPr>
          <w:rFonts w:ascii="Century Gothic" w:hAnsi="Century Gothic" w:cs="Century Gothic"/>
          <w:sz w:val="22"/>
        </w:rPr>
        <w:t>September</w:t>
      </w:r>
    </w:p>
    <w:p w14:paraId="1510C602" w14:textId="77777777" w:rsidR="00B14080" w:rsidRPr="00C94450" w:rsidRDefault="00B14080" w:rsidP="00B14080">
      <w:pPr>
        <w:rPr>
          <w:rFonts w:cs="Arial"/>
          <w:szCs w:val="24"/>
        </w:rPr>
      </w:pPr>
    </w:p>
    <w:p w14:paraId="3F890056" w14:textId="596ECD01" w:rsidR="00B14080" w:rsidRPr="00C94450" w:rsidRDefault="00B14080" w:rsidP="00B14080">
      <w:pPr>
        <w:rPr>
          <w:rFonts w:cs="Arial"/>
          <w:szCs w:val="24"/>
        </w:rPr>
      </w:pPr>
      <w:r w:rsidRPr="00C94450">
        <w:rPr>
          <w:rFonts w:cs="Arial"/>
          <w:szCs w:val="24"/>
        </w:rPr>
        <w:t xml:space="preserve">The meeting was adjourned at </w:t>
      </w:r>
      <w:r w:rsidR="00836CBE">
        <w:rPr>
          <w:rFonts w:cs="Arial"/>
          <w:szCs w:val="24"/>
        </w:rPr>
        <w:t>5:5</w:t>
      </w:r>
      <w:r w:rsidR="005374AE">
        <w:rPr>
          <w:rFonts w:cs="Arial"/>
          <w:szCs w:val="24"/>
        </w:rPr>
        <w:t>1</w:t>
      </w:r>
      <w:r w:rsidR="00836CBE">
        <w:rPr>
          <w:rFonts w:cs="Arial"/>
          <w:szCs w:val="24"/>
        </w:rPr>
        <w:t xml:space="preserve"> </w:t>
      </w:r>
      <w:r w:rsidRPr="00C94450">
        <w:rPr>
          <w:rFonts w:cs="Arial"/>
          <w:szCs w:val="24"/>
        </w:rPr>
        <w:t xml:space="preserve">pm.  </w:t>
      </w:r>
    </w:p>
    <w:p w14:paraId="05DEB345" w14:textId="77777777" w:rsidR="00B14080" w:rsidRPr="00CF5FAD" w:rsidRDefault="00B14080" w:rsidP="00B14080"/>
    <w:p w14:paraId="4B90113E" w14:textId="77777777" w:rsidR="00B14080" w:rsidRPr="00E257B3" w:rsidRDefault="00B14080" w:rsidP="00B14080">
      <w:pPr>
        <w:jc w:val="center"/>
      </w:pPr>
    </w:p>
    <w:p w14:paraId="7A6D424A" w14:textId="77777777" w:rsidR="00CF5FAD" w:rsidRPr="00CF5FAD" w:rsidRDefault="00CF5FAD" w:rsidP="00CF5FAD"/>
    <w:p w14:paraId="37F05020" w14:textId="43C3FAF2" w:rsidR="00487293" w:rsidRPr="00E257B3" w:rsidRDefault="00487293" w:rsidP="00CF5FAD">
      <w:pPr>
        <w:jc w:val="center"/>
      </w:pPr>
    </w:p>
    <w:sectPr w:rsidR="00487293" w:rsidRPr="00E257B3" w:rsidSect="00683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A4F5" w14:textId="77777777" w:rsidR="00B14080" w:rsidRDefault="00B14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DA67C" w14:textId="77777777" w:rsidR="00B14080" w:rsidRDefault="00B14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43BA" w14:textId="77777777" w:rsidR="00B14080" w:rsidRDefault="00B140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3F91" w14:textId="77777777" w:rsidR="00BB5C12" w:rsidRDefault="00BB5C1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6AD1" w14:textId="77777777" w:rsidR="00BB5C12" w:rsidRDefault="00BB5C1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53AF" w14:textId="77777777" w:rsidR="00B14080" w:rsidRDefault="00B14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EA94" w14:textId="77777777" w:rsidR="00B14080" w:rsidRDefault="00B14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38" w:type="dxa"/>
      <w:tblInd w:w="-1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790"/>
      <w:gridCol w:w="5760"/>
      <w:gridCol w:w="2988"/>
    </w:tblGrid>
    <w:tr w:rsidR="00B14080" w14:paraId="6A0EED15" w14:textId="77777777" w:rsidTr="00B14080">
      <w:trPr>
        <w:tblHeader/>
      </w:trPr>
      <w:tc>
        <w:tcPr>
          <w:tcW w:w="2790" w:type="dxa"/>
        </w:tcPr>
        <w:p w14:paraId="65BFFBCC" w14:textId="77777777" w:rsidR="00B14080" w:rsidRDefault="00B14080" w:rsidP="00CE141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inline distT="0" distB="0" distL="0" distR="0" wp14:anchorId="213C4D74" wp14:editId="4AD87DF1">
                <wp:extent cx="1409700" cy="17300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07" cy="174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14:paraId="112BB6C0" w14:textId="77777777" w:rsidR="00B14080" w:rsidRDefault="00B14080" w:rsidP="00CE141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550E9DF8" w14:textId="77C69045" w:rsidR="00B14080" w:rsidRPr="00D03439" w:rsidRDefault="00B14080" w:rsidP="007B7777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>Jacksonville Environmental Protection Board Members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Thomas Deck - Chairman </w:t>
          </w:r>
          <w:r>
            <w:rPr>
              <w:color w:val="1F497D" w:themeColor="text2"/>
              <w:sz w:val="16"/>
              <w:szCs w:val="16"/>
            </w:rPr>
            <w:br/>
            <w:t xml:space="preserve">Adam Hoyles – Vice Chairman                                                                     Josh Gellers, Ph.D., Desiree C. Jones, LMHC, Sunil Joshi, M.D.,               Clint Noble, P.G., Guillermo Simon, P.E., Margarete Vest, P.E., David Wood </w:t>
          </w:r>
        </w:p>
      </w:tc>
      <w:tc>
        <w:tcPr>
          <w:tcW w:w="2988" w:type="dxa"/>
        </w:tcPr>
        <w:p w14:paraId="6E741E98" w14:textId="77777777" w:rsidR="00B14080" w:rsidRDefault="00B14080" w:rsidP="007B7777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2CCF121B" w14:textId="56D2C248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Clint Noble, P.G.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1EF65593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6B3DB1F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38E1D242" w14:textId="34E139B5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Margarete Vest, P.E.</w:t>
          </w:r>
        </w:p>
        <w:p w14:paraId="4A4C135B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</w:p>
        <w:p w14:paraId="638F5AAE" w14:textId="77777777" w:rsidR="00B14080" w:rsidRDefault="00B14080" w:rsidP="007B7777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 xml:space="preserve">Adam Hoyles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>
            <w:rPr>
              <w:color w:val="1F497D" w:themeColor="text2"/>
              <w:sz w:val="16"/>
              <w:szCs w:val="16"/>
            </w:rPr>
            <w:t>Josh Gellers, Ph.D.</w:t>
          </w:r>
        </w:p>
        <w:p w14:paraId="0D96B023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Desiree Jones, LMHC</w:t>
          </w:r>
        </w:p>
        <w:p w14:paraId="38A124E0" w14:textId="77777777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Simon, P.E</w:t>
          </w:r>
        </w:p>
        <w:p w14:paraId="68EFE9E8" w14:textId="644B4688" w:rsidR="00B14080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 xml:space="preserve">Margarete Vest, </w:t>
          </w:r>
          <w:proofErr w:type="gramStart"/>
          <w:r>
            <w:rPr>
              <w:color w:val="1F497D" w:themeColor="text2"/>
              <w:sz w:val="16"/>
              <w:szCs w:val="16"/>
            </w:rPr>
            <w:t>P.E..</w:t>
          </w:r>
          <w:proofErr w:type="gramEnd"/>
        </w:p>
        <w:p w14:paraId="56ED5627" w14:textId="77777777" w:rsidR="00B14080" w:rsidRPr="00EC3733" w:rsidRDefault="00B14080" w:rsidP="00CE1410">
          <w:pPr>
            <w:pStyle w:val="Header"/>
            <w:rPr>
              <w:color w:val="1F497D" w:themeColor="text2"/>
              <w:sz w:val="16"/>
              <w:szCs w:val="16"/>
            </w:rPr>
          </w:pPr>
        </w:p>
      </w:tc>
    </w:tr>
  </w:tbl>
  <w:p w14:paraId="59AA3371" w14:textId="77777777" w:rsidR="00B14080" w:rsidRDefault="00B140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E5CC" w14:textId="77777777" w:rsidR="00BB5C12" w:rsidRDefault="00BB5C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BFBB" w14:textId="77777777" w:rsidR="00BB5C12" w:rsidRDefault="00BB5C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72F"/>
    <w:multiLevelType w:val="hybridMultilevel"/>
    <w:tmpl w:val="E65C0C32"/>
    <w:lvl w:ilvl="0" w:tplc="BB1A5C3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1B8F"/>
    <w:multiLevelType w:val="hybridMultilevel"/>
    <w:tmpl w:val="0ED0C6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14AF"/>
    <w:multiLevelType w:val="hybridMultilevel"/>
    <w:tmpl w:val="09C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4626"/>
    <w:multiLevelType w:val="hybridMultilevel"/>
    <w:tmpl w:val="05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D1DAA"/>
    <w:multiLevelType w:val="hybridMultilevel"/>
    <w:tmpl w:val="065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1"/>
  </w:num>
  <w:num w:numId="2" w16cid:durableId="2133209597">
    <w:abstractNumId w:val="2"/>
  </w:num>
  <w:num w:numId="3" w16cid:durableId="1378699471">
    <w:abstractNumId w:val="0"/>
  </w:num>
  <w:num w:numId="4" w16cid:durableId="1916670056">
    <w:abstractNumId w:val="4"/>
  </w:num>
  <w:num w:numId="5" w16cid:durableId="1546869509">
    <w:abstractNumId w:val="3"/>
  </w:num>
  <w:num w:numId="6" w16cid:durableId="1683168007">
    <w:abstractNumId w:val="9"/>
  </w:num>
  <w:num w:numId="7" w16cid:durableId="847209541">
    <w:abstractNumId w:val="6"/>
  </w:num>
  <w:num w:numId="8" w16cid:durableId="1920095977">
    <w:abstractNumId w:val="7"/>
  </w:num>
  <w:num w:numId="9" w16cid:durableId="91291733">
    <w:abstractNumId w:val="5"/>
  </w:num>
  <w:num w:numId="10" w16cid:durableId="1158883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12A61"/>
    <w:rsid w:val="00074E00"/>
    <w:rsid w:val="000904D9"/>
    <w:rsid w:val="000B378F"/>
    <w:rsid w:val="000C6F3A"/>
    <w:rsid w:val="000E7FB5"/>
    <w:rsid w:val="000F681E"/>
    <w:rsid w:val="00104363"/>
    <w:rsid w:val="00182EE2"/>
    <w:rsid w:val="001E7050"/>
    <w:rsid w:val="00211C95"/>
    <w:rsid w:val="002B2EF8"/>
    <w:rsid w:val="002E2051"/>
    <w:rsid w:val="002E78B8"/>
    <w:rsid w:val="002F7F2D"/>
    <w:rsid w:val="00310EAD"/>
    <w:rsid w:val="00323D40"/>
    <w:rsid w:val="003355F7"/>
    <w:rsid w:val="00394A11"/>
    <w:rsid w:val="003B4AFE"/>
    <w:rsid w:val="003C20D5"/>
    <w:rsid w:val="0043327A"/>
    <w:rsid w:val="00452151"/>
    <w:rsid w:val="00453F81"/>
    <w:rsid w:val="00487293"/>
    <w:rsid w:val="004946C2"/>
    <w:rsid w:val="0050164B"/>
    <w:rsid w:val="0050363F"/>
    <w:rsid w:val="00517AC6"/>
    <w:rsid w:val="005368D7"/>
    <w:rsid w:val="005374AE"/>
    <w:rsid w:val="0054087E"/>
    <w:rsid w:val="00584588"/>
    <w:rsid w:val="005960BE"/>
    <w:rsid w:val="0060094D"/>
    <w:rsid w:val="006161A2"/>
    <w:rsid w:val="00660084"/>
    <w:rsid w:val="006826BB"/>
    <w:rsid w:val="00683D3D"/>
    <w:rsid w:val="006F3EF1"/>
    <w:rsid w:val="00762556"/>
    <w:rsid w:val="007D1C67"/>
    <w:rsid w:val="008017C6"/>
    <w:rsid w:val="00836CBE"/>
    <w:rsid w:val="008A4B6B"/>
    <w:rsid w:val="008B03E0"/>
    <w:rsid w:val="008E60E9"/>
    <w:rsid w:val="009558A6"/>
    <w:rsid w:val="00970DA0"/>
    <w:rsid w:val="009E3054"/>
    <w:rsid w:val="00A231A8"/>
    <w:rsid w:val="00A439F0"/>
    <w:rsid w:val="00A77E44"/>
    <w:rsid w:val="00A94C57"/>
    <w:rsid w:val="00AA7533"/>
    <w:rsid w:val="00AC3542"/>
    <w:rsid w:val="00AD5582"/>
    <w:rsid w:val="00B10013"/>
    <w:rsid w:val="00B14080"/>
    <w:rsid w:val="00B25551"/>
    <w:rsid w:val="00B327CF"/>
    <w:rsid w:val="00B479B2"/>
    <w:rsid w:val="00B549B2"/>
    <w:rsid w:val="00BB5C12"/>
    <w:rsid w:val="00C038F6"/>
    <w:rsid w:val="00C31DC7"/>
    <w:rsid w:val="00CA2D70"/>
    <w:rsid w:val="00CF1E4D"/>
    <w:rsid w:val="00CF5FAD"/>
    <w:rsid w:val="00D03439"/>
    <w:rsid w:val="00D26FB5"/>
    <w:rsid w:val="00D709DF"/>
    <w:rsid w:val="00DA6D5B"/>
    <w:rsid w:val="00E00894"/>
    <w:rsid w:val="00E257B3"/>
    <w:rsid w:val="00E26100"/>
    <w:rsid w:val="00E6361D"/>
    <w:rsid w:val="00E8229C"/>
    <w:rsid w:val="00EE2BB6"/>
    <w:rsid w:val="00E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F88B52CD6042AEAD5EB88E1BAB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09FF-C188-47C1-A068-0279FC24A838}"/>
      </w:docPartPr>
      <w:docPartBody>
        <w:p w:rsidR="00CD7C44" w:rsidRDefault="00CD7C44" w:rsidP="00CD7C44">
          <w:pPr>
            <w:pStyle w:val="ABF88B52CD6042AEAD5EB88E1BAB05D0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A55483E42FBB40AFBBEE27C9F191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CD73-BAFF-4B74-A1F5-79D421E5D3CA}"/>
      </w:docPartPr>
      <w:docPartBody>
        <w:p w:rsidR="00CD7C44" w:rsidRDefault="00CD7C44" w:rsidP="00CD7C44">
          <w:pPr>
            <w:pStyle w:val="A55483E42FBB40AFBBEE27C9F191B96E"/>
          </w:pPr>
          <w:r w:rsidRPr="006614FE">
            <w:rPr>
              <w:rStyle w:val="PlaceholderText"/>
              <w:rFonts w:ascii="Arial" w:hAnsi="Arial" w:cs="Arial"/>
              <w:sz w:val="22"/>
              <w:szCs w:val="22"/>
            </w:rPr>
            <w:t>Unknown or gather from the chronology/emails.</w:t>
          </w:r>
        </w:p>
      </w:docPartBody>
    </w:docPart>
    <w:docPart>
      <w:docPartPr>
        <w:name w:val="90E10D70DBC648CE8084EB2DBD09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7E88-2CA9-45F4-BF45-35B726F8506C}"/>
      </w:docPartPr>
      <w:docPartBody>
        <w:p w:rsidR="00CD7C44" w:rsidRDefault="00CD7C44" w:rsidP="00CD7C44">
          <w:pPr>
            <w:pStyle w:val="90E10D70DBC648CE8084EB2DBD095DCE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0409FDE3414C44F4B20562195D0D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C7DB-889A-462B-91FD-F198B768D4EA}"/>
      </w:docPartPr>
      <w:docPartBody>
        <w:p w:rsidR="00CD7C44" w:rsidRDefault="00CD7C44" w:rsidP="00CD7C44">
          <w:pPr>
            <w:pStyle w:val="0409FDE3414C44F4B20562195D0D8DDF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DF9CB5CEBFDD4974BF550B866B2E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43BA-BB7F-4C41-8FD8-3D0E661A6310}"/>
      </w:docPartPr>
      <w:docPartBody>
        <w:p w:rsidR="00CD7C44" w:rsidRDefault="00CD7C44" w:rsidP="00CD7C44">
          <w:pPr>
            <w:pStyle w:val="DF9CB5CEBFDD4974BF550B866B2E71FC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5E"/>
    <w:rsid w:val="0054087E"/>
    <w:rsid w:val="006161A2"/>
    <w:rsid w:val="009558A6"/>
    <w:rsid w:val="00B549B2"/>
    <w:rsid w:val="00CD7C44"/>
    <w:rsid w:val="00DB6C5E"/>
    <w:rsid w:val="00E00894"/>
    <w:rsid w:val="00E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C44"/>
    <w:rPr>
      <w:color w:val="808080"/>
    </w:rPr>
  </w:style>
  <w:style w:type="paragraph" w:customStyle="1" w:styleId="ABF88B52CD6042AEAD5EB88E1BAB05D0">
    <w:name w:val="ABF88B52CD6042AEAD5EB88E1BAB05D0"/>
    <w:rsid w:val="00CD7C44"/>
  </w:style>
  <w:style w:type="paragraph" w:customStyle="1" w:styleId="A55483E42FBB40AFBBEE27C9F191B96E">
    <w:name w:val="A55483E42FBB40AFBBEE27C9F191B96E"/>
    <w:rsid w:val="00CD7C44"/>
  </w:style>
  <w:style w:type="paragraph" w:customStyle="1" w:styleId="90E10D70DBC648CE8084EB2DBD095DCE">
    <w:name w:val="90E10D70DBC648CE8084EB2DBD095DCE"/>
    <w:rsid w:val="00CD7C44"/>
  </w:style>
  <w:style w:type="paragraph" w:customStyle="1" w:styleId="538BF08DBE164C5E91C1A2F4EF6ABAA0">
    <w:name w:val="538BF08DBE164C5E91C1A2F4EF6ABAA0"/>
    <w:rsid w:val="00E15CEC"/>
  </w:style>
  <w:style w:type="paragraph" w:customStyle="1" w:styleId="84338F0C702C498FAB3A5B36482AFF69">
    <w:name w:val="84338F0C702C498FAB3A5B36482AFF69"/>
    <w:rsid w:val="00E15CEC"/>
  </w:style>
  <w:style w:type="paragraph" w:customStyle="1" w:styleId="B0923ADEEC9D4A65945242F3AF14BABD">
    <w:name w:val="B0923ADEEC9D4A65945242F3AF14BABD"/>
    <w:rsid w:val="00E15CEC"/>
  </w:style>
  <w:style w:type="paragraph" w:customStyle="1" w:styleId="0409FDE3414C44F4B20562195D0D8DDF">
    <w:name w:val="0409FDE3414C44F4B20562195D0D8DDF"/>
    <w:rsid w:val="00CD7C44"/>
  </w:style>
  <w:style w:type="paragraph" w:customStyle="1" w:styleId="DF9CB5CEBFDD4974BF550B866B2E71FC">
    <w:name w:val="DF9CB5CEBFDD4974BF550B866B2E71FC"/>
    <w:rsid w:val="00CD7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 - EREQ</cp:lastModifiedBy>
  <cp:revision>4</cp:revision>
  <cp:lastPrinted>2022-07-29T15:38:00Z</cp:lastPrinted>
  <dcterms:created xsi:type="dcterms:W3CDTF">2024-08-14T01:07:00Z</dcterms:created>
  <dcterms:modified xsi:type="dcterms:W3CDTF">2024-08-14T01:36:00Z</dcterms:modified>
</cp:coreProperties>
</file>